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47"/>
        <w:contextualSpacing/>
        <w:ind w:left="6096" w:firstLine="0"/>
        <w:widowControl w:val="off"/>
        <w:tabs>
          <w:tab w:val="left" w:pos="-142" w:leader="none"/>
          <w:tab w:val="left" w:pos="284" w:leader="none"/>
          <w:tab w:val="left" w:pos="1276" w:leader="none"/>
        </w:tabs>
      </w:pPr>
      <w:r>
        <w:rPr>
          <w:bCs/>
          <w:szCs w:val="28"/>
        </w:rPr>
        <w:t xml:space="preserve">Приложение 2</w:t>
      </w:r>
      <w:r>
        <w:rPr>
          <w:bCs/>
          <w:szCs w:val="28"/>
        </w:rPr>
        <w:t xml:space="preserve"> </w:t>
      </w:r>
      <w:r>
        <w:rPr>
          <w:bCs/>
          <w:szCs w:val="28"/>
        </w:rPr>
        <w:t xml:space="preserve">к </w:t>
      </w:r>
      <w:r>
        <w:t xml:space="preserve">Политике</w:t>
      </w:r>
      <w:r>
        <w:t xml:space="preserve"> </w:t>
      </w:r>
      <w:r/>
      <w:r/>
    </w:p>
    <w:p>
      <w:pPr>
        <w:pStyle w:val="947"/>
        <w:contextualSpacing/>
        <w:ind w:left="6096" w:firstLine="0"/>
        <w:widowControl w:val="off"/>
        <w:tabs>
          <w:tab w:val="left" w:pos="-142" w:leader="none"/>
          <w:tab w:val="left" w:pos="284" w:leader="none"/>
          <w:tab w:val="left" w:pos="1276" w:leader="none"/>
        </w:tabs>
        <w:rPr>
          <w:bCs/>
          <w:szCs w:val="28"/>
        </w:rPr>
      </w:pPr>
      <w:r>
        <w:t xml:space="preserve">в области пожарной </w:t>
      </w:r>
      <w:r>
        <w:t xml:space="preserve">безопасности</w:t>
      </w:r>
      <w:r>
        <w:t xml:space="preserve"> </w:t>
      </w:r>
      <w:r>
        <w:t xml:space="preserve">ПАО «Россети»</w:t>
      </w:r>
      <w:r>
        <w:rPr>
          <w:bCs/>
          <w:szCs w:val="28"/>
        </w:rPr>
      </w:r>
      <w:r>
        <w:rPr>
          <w:bCs/>
          <w:szCs w:val="28"/>
        </w:rPr>
      </w:r>
    </w:p>
    <w:p>
      <w:pPr>
        <w:contextualSpacing/>
        <w:ind w:left="7371"/>
        <w:widowControl w:val="off"/>
        <w:tabs>
          <w:tab w:val="left" w:pos="-142" w:leader="none"/>
          <w:tab w:val="left" w:pos="284" w:leader="none"/>
          <w:tab w:val="left" w:pos="1276" w:leader="none"/>
        </w:tabs>
      </w:pPr>
      <w:r/>
      <w:r/>
    </w:p>
    <w:p>
      <w:pPr>
        <w:contextualSpacing/>
        <w:ind w:left="6096"/>
        <w:widowControl w:val="off"/>
        <w:tabs>
          <w:tab w:val="left" w:pos="-142" w:leader="none"/>
          <w:tab w:val="left" w:pos="284" w:leader="none"/>
          <w:tab w:val="left" w:pos="1276" w:leader="none"/>
        </w:tabs>
      </w:pPr>
      <w:r/>
      <w:r/>
    </w:p>
    <w:p>
      <w:pPr>
        <w:pStyle w:val="1162"/>
        <w:jc w:val="right"/>
        <w:tabs>
          <w:tab w:val="center" w:pos="0" w:leader="none"/>
          <w:tab w:val="clear" w:pos="4153" w:leader="none"/>
          <w:tab w:val="clear" w:pos="8306" w:leader="none"/>
          <w:tab w:val="right" w:pos="9356" w:leader="none"/>
        </w:tabs>
      </w:pPr>
      <w:r/>
      <w:r/>
    </w:p>
    <w:p>
      <w:pPr>
        <w:jc w:val="center"/>
        <w:rPr>
          <w:b/>
          <w:color w:val="000000"/>
          <w:sz w:val="40"/>
          <w:szCs w:val="40"/>
        </w:rPr>
      </w:pPr>
      <w:r>
        <w:rPr>
          <w:b/>
          <w:color w:val="000000"/>
          <w:sz w:val="40"/>
          <w:szCs w:val="40"/>
        </w:rPr>
      </w:r>
      <w:r>
        <w:rPr>
          <w:b/>
          <w:color w:val="000000"/>
          <w:sz w:val="40"/>
          <w:szCs w:val="40"/>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tabs>
          <w:tab w:val="left" w:pos="4365" w:leader="none"/>
        </w:tabs>
        <w:rPr>
          <w:sz w:val="28"/>
          <w:szCs w:val="28"/>
        </w:rPr>
      </w:pPr>
      <w:r>
        <w:rPr>
          <w:sz w:val="28"/>
          <w:szCs w:val="28"/>
        </w:rPr>
        <w:tab/>
      </w:r>
      <w:r>
        <w:rPr>
          <w:sz w:val="28"/>
          <w:szCs w:val="28"/>
        </w:rPr>
      </w:r>
    </w:p>
    <w:p>
      <w:pPr>
        <w:jc w:val="center"/>
        <w:rPr>
          <w:b/>
          <w:bCs/>
          <w:sz w:val="32"/>
          <w:szCs w:val="32"/>
        </w:rPr>
      </w:pPr>
      <w:r>
        <w:rPr>
          <w:b/>
          <w:bCs/>
          <w:sz w:val="32"/>
          <w:szCs w:val="32"/>
        </w:rPr>
        <w:t xml:space="preserve">РУКОВОДЯЩИЕ УКАЗАНИЯ ПО УСТАНОВЛЕНИЮ ПРОТИВОПОЖАРНОГО РЕЖИМА  </w:t>
      </w:r>
      <w:r>
        <w:rPr>
          <w:b/>
          <w:bCs/>
          <w:sz w:val="32"/>
          <w:szCs w:val="32"/>
        </w:rPr>
      </w:r>
    </w:p>
    <w:p>
      <w:pPr>
        <w:jc w:val="center"/>
        <w:rPr>
          <w:b/>
          <w:bCs/>
          <w:sz w:val="32"/>
          <w:szCs w:val="32"/>
        </w:rPr>
      </w:pPr>
      <w:r>
        <w:rPr>
          <w:b/>
          <w:bCs/>
          <w:sz w:val="32"/>
          <w:szCs w:val="32"/>
        </w:rPr>
      </w:r>
      <w:r>
        <w:rPr>
          <w:b/>
          <w:bCs/>
          <w:sz w:val="32"/>
          <w:szCs w:val="32"/>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rPr>
          <w:sz w:val="28"/>
          <w:szCs w:val="28"/>
        </w:rPr>
      </w:pPr>
      <w:r>
        <w:rPr>
          <w:sz w:val="28"/>
          <w:szCs w:val="28"/>
        </w:rPr>
      </w:r>
      <w:r>
        <w:rPr>
          <w:sz w:val="28"/>
          <w:szCs w:val="28"/>
        </w:rPr>
      </w:r>
    </w:p>
    <w:p>
      <w:r/>
      <w:r/>
    </w:p>
    <w:p>
      <w:pPr>
        <w:jc w:val="center"/>
        <w:rPr>
          <w:b/>
          <w:caps/>
        </w:rPr>
      </w:pPr>
      <w:r>
        <w:rPr>
          <w:b/>
        </w:rPr>
        <w:t xml:space="preserve">Содержание</w:t>
      </w:r>
      <w:r>
        <w:rPr>
          <w:b/>
          <w:caps/>
        </w:rPr>
      </w:r>
    </w:p>
    <w:p>
      <w:pPr>
        <w:pStyle w:val="1127"/>
        <w:ind w:firstLine="709"/>
        <w:spacing w:before="0" w:line="240" w:lineRule="auto"/>
        <w:rPr>
          <w:rFonts w:ascii="Times New Roman" w:hAnsi="Times New Roman"/>
          <w:b w:val="0"/>
          <w:sz w:val="24"/>
          <w:szCs w:val="24"/>
        </w:rPr>
      </w:pPr>
      <w:r>
        <w:rPr>
          <w:rFonts w:ascii="Times New Roman" w:hAnsi="Times New Roman"/>
          <w:b w:val="0"/>
          <w:sz w:val="24"/>
          <w:szCs w:val="24"/>
        </w:rPr>
      </w:r>
      <w:r>
        <w:rPr>
          <w:rFonts w:ascii="Times New Roman" w:hAnsi="Times New Roman"/>
          <w:b w:val="0"/>
          <w:sz w:val="24"/>
          <w:szCs w:val="24"/>
        </w:rPr>
      </w:r>
    </w:p>
    <w:p>
      <w:pPr>
        <w:pStyle w:val="1118"/>
        <w:rPr>
          <w:b/>
          <w:bCs/>
          <w:sz w:val="22"/>
          <w:szCs w:val="22"/>
        </w:rPr>
      </w:pPr>
      <w:r>
        <w:rPr>
          <w:b/>
        </w:rPr>
        <w:fldChar w:fldCharType="begin"/>
      </w:r>
      <w:r>
        <w:rPr>
          <w:b/>
        </w:rPr>
        <w:instrText xml:space="preserve"> TOC \o "1-3" \h \z \u </w:instrText>
      </w:r>
      <w:r>
        <w:rPr>
          <w:b/>
        </w:rPr>
        <w:fldChar w:fldCharType="separate"/>
      </w:r>
      <w:hyperlink w:tooltip="#_Toc124499085" w:anchor="_Toc124499085" w:history="1">
        <w:r>
          <w:rPr>
            <w:rStyle w:val="1111"/>
            <w:b/>
          </w:rPr>
          <w:t xml:space="preserve">Введение</w:t>
        </w:r>
        <w:r>
          <w:rPr>
            <w:b/>
          </w:rPr>
          <w:tab/>
        </w:r>
        <w:r>
          <w:rPr>
            <w:b/>
          </w:rPr>
          <w:fldChar w:fldCharType="begin"/>
        </w:r>
        <w:r>
          <w:rPr>
            <w:b/>
          </w:rPr>
          <w:instrText xml:space="preserve"> PAGEREF _Toc124499085 \h </w:instrText>
        </w:r>
        <w:r>
          <w:rPr>
            <w:b/>
          </w:rPr>
        </w:r>
        <w:r>
          <w:rPr>
            <w:b/>
          </w:rPr>
          <w:fldChar w:fldCharType="separate"/>
        </w:r>
        <w:r>
          <w:rPr>
            <w:b/>
          </w:rPr>
          <w:t xml:space="preserve">4</w:t>
        </w:r>
        <w:r>
          <w:rPr>
            <w:b/>
          </w:rPr>
          <w:fldChar w:fldCharType="end"/>
        </w:r>
      </w:hyperlink>
      <w:r/>
      <w:r>
        <w:rPr>
          <w:b/>
          <w:bCs/>
          <w:sz w:val="22"/>
          <w:szCs w:val="22"/>
        </w:rPr>
      </w:r>
    </w:p>
    <w:p>
      <w:pPr>
        <w:pStyle w:val="1118"/>
        <w:rPr>
          <w:b/>
          <w:bCs/>
          <w:sz w:val="22"/>
          <w:szCs w:val="22"/>
        </w:rPr>
      </w:pPr>
      <w:r/>
      <w:hyperlink w:tooltip="#_Toc124499086" w:anchor="_Toc124499086" w:history="1">
        <w:r>
          <w:rPr>
            <w:rStyle w:val="1111"/>
            <w:b/>
          </w:rPr>
          <w:t xml:space="preserve">1.</w:t>
        </w:r>
        <w:r>
          <w:rPr>
            <w:b/>
            <w:bCs/>
            <w:sz w:val="22"/>
            <w:szCs w:val="22"/>
          </w:rPr>
          <w:tab/>
        </w:r>
        <w:r>
          <w:rPr>
            <w:rStyle w:val="1111"/>
            <w:b/>
          </w:rPr>
          <w:t xml:space="preserve">Область применения</w:t>
        </w:r>
        <w:r>
          <w:rPr>
            <w:b/>
          </w:rPr>
          <w:tab/>
        </w:r>
        <w:r>
          <w:rPr>
            <w:b/>
          </w:rPr>
          <w:fldChar w:fldCharType="begin"/>
        </w:r>
        <w:r>
          <w:rPr>
            <w:b/>
          </w:rPr>
          <w:instrText xml:space="preserve"> PAGEREF _Toc124499086 \h </w:instrText>
        </w:r>
        <w:r>
          <w:rPr>
            <w:b/>
          </w:rPr>
        </w:r>
        <w:r>
          <w:rPr>
            <w:b/>
          </w:rPr>
          <w:fldChar w:fldCharType="separate"/>
        </w:r>
        <w:r>
          <w:rPr>
            <w:b/>
          </w:rPr>
          <w:t xml:space="preserve">4</w:t>
        </w:r>
        <w:r>
          <w:rPr>
            <w:b/>
          </w:rPr>
          <w:fldChar w:fldCharType="end"/>
        </w:r>
      </w:hyperlink>
      <w:r/>
      <w:r>
        <w:rPr>
          <w:b/>
          <w:bCs/>
          <w:sz w:val="22"/>
          <w:szCs w:val="22"/>
        </w:rPr>
      </w:r>
    </w:p>
    <w:p>
      <w:pPr>
        <w:pStyle w:val="1118"/>
        <w:rPr>
          <w:b/>
          <w:bCs/>
          <w:sz w:val="22"/>
          <w:szCs w:val="22"/>
        </w:rPr>
      </w:pPr>
      <w:r/>
      <w:hyperlink w:tooltip="#_Toc124499087" w:anchor="_Toc124499087" w:history="1">
        <w:r>
          <w:rPr>
            <w:rStyle w:val="1111"/>
            <w:b/>
          </w:rPr>
          <w:t xml:space="preserve">2.</w:t>
        </w:r>
        <w:r>
          <w:rPr>
            <w:b/>
            <w:bCs/>
            <w:sz w:val="22"/>
            <w:szCs w:val="22"/>
          </w:rPr>
          <w:tab/>
        </w:r>
        <w:r>
          <w:rPr>
            <w:rStyle w:val="1111"/>
            <w:b/>
          </w:rPr>
          <w:t xml:space="preserve">Нормативные ссылки.</w:t>
        </w:r>
        <w:r>
          <w:rPr>
            <w:b/>
          </w:rPr>
          <w:tab/>
        </w:r>
        <w:r>
          <w:rPr>
            <w:b/>
          </w:rPr>
          <w:fldChar w:fldCharType="begin"/>
        </w:r>
        <w:r>
          <w:rPr>
            <w:b/>
          </w:rPr>
          <w:instrText xml:space="preserve"> PAGEREF _Toc124499087 \h </w:instrText>
        </w:r>
        <w:r>
          <w:rPr>
            <w:b/>
          </w:rPr>
        </w:r>
        <w:r>
          <w:rPr>
            <w:b/>
          </w:rPr>
          <w:fldChar w:fldCharType="separate"/>
        </w:r>
        <w:r>
          <w:rPr>
            <w:b/>
          </w:rPr>
          <w:t xml:space="preserve">4</w:t>
        </w:r>
        <w:r>
          <w:rPr>
            <w:b/>
          </w:rPr>
          <w:fldChar w:fldCharType="end"/>
        </w:r>
      </w:hyperlink>
      <w:r/>
      <w:r>
        <w:rPr>
          <w:b/>
          <w:bCs/>
          <w:sz w:val="22"/>
          <w:szCs w:val="22"/>
        </w:rPr>
      </w:r>
    </w:p>
    <w:p>
      <w:pPr>
        <w:pStyle w:val="1118"/>
        <w:rPr>
          <w:b/>
          <w:bCs/>
          <w:sz w:val="22"/>
          <w:szCs w:val="22"/>
        </w:rPr>
      </w:pPr>
      <w:r/>
      <w:hyperlink w:tooltip="#_Toc124499088" w:anchor="_Toc124499088" w:history="1">
        <w:r>
          <w:rPr>
            <w:rStyle w:val="1111"/>
            <w:b/>
          </w:rPr>
          <w:t xml:space="preserve">3.</w:t>
        </w:r>
        <w:r>
          <w:rPr>
            <w:b/>
            <w:bCs/>
            <w:sz w:val="22"/>
            <w:szCs w:val="22"/>
          </w:rPr>
          <w:tab/>
        </w:r>
        <w:r>
          <w:rPr>
            <w:rStyle w:val="1111"/>
            <w:b/>
          </w:rPr>
          <w:t xml:space="preserve">Термины и определения. Принятые сокращения</w:t>
        </w:r>
        <w:r>
          <w:rPr>
            <w:b/>
          </w:rPr>
          <w:tab/>
        </w:r>
        <w:r>
          <w:rPr>
            <w:b/>
          </w:rPr>
          <w:fldChar w:fldCharType="begin"/>
        </w:r>
        <w:r>
          <w:rPr>
            <w:b/>
          </w:rPr>
          <w:instrText xml:space="preserve"> PAGEREF _Toc124499088 \h </w:instrText>
        </w:r>
        <w:r>
          <w:rPr>
            <w:b/>
          </w:rPr>
        </w:r>
        <w:r>
          <w:rPr>
            <w:b/>
          </w:rPr>
          <w:fldChar w:fldCharType="separate"/>
        </w:r>
        <w:r>
          <w:rPr>
            <w:b/>
          </w:rPr>
          <w:t xml:space="preserve">5</w:t>
        </w:r>
        <w:r>
          <w:rPr>
            <w:b/>
          </w:rPr>
          <w:fldChar w:fldCharType="end"/>
        </w:r>
      </w:hyperlink>
      <w:r/>
      <w:r>
        <w:rPr>
          <w:b/>
          <w:bCs/>
          <w:sz w:val="22"/>
          <w:szCs w:val="22"/>
        </w:rPr>
      </w:r>
    </w:p>
    <w:p>
      <w:pPr>
        <w:pStyle w:val="1118"/>
        <w:rPr>
          <w:b/>
          <w:bCs/>
          <w:sz w:val="22"/>
          <w:szCs w:val="22"/>
        </w:rPr>
      </w:pPr>
      <w:r/>
      <w:hyperlink w:tooltip="#_Toc124499089" w:anchor="_Toc124499089" w:history="1">
        <w:r>
          <w:rPr>
            <w:rStyle w:val="1111"/>
            <w:b/>
          </w:rPr>
          <w:t xml:space="preserve">4.</w:t>
        </w:r>
        <w:r>
          <w:rPr>
            <w:b/>
            <w:bCs/>
            <w:sz w:val="22"/>
            <w:szCs w:val="22"/>
          </w:rPr>
          <w:tab/>
        </w:r>
        <w:r>
          <w:rPr>
            <w:rStyle w:val="1111"/>
            <w:b/>
          </w:rPr>
          <w:t xml:space="preserve">Общие принципы организации и обеспечения пожарной безопасности на объектах ПАО «Россети»</w:t>
        </w:r>
        <w:r>
          <w:rPr>
            <w:b/>
          </w:rPr>
          <w:tab/>
        </w:r>
        <w:r>
          <w:rPr>
            <w:b/>
          </w:rPr>
          <w:fldChar w:fldCharType="begin"/>
        </w:r>
        <w:r>
          <w:rPr>
            <w:b/>
          </w:rPr>
          <w:instrText xml:space="preserve"> PAGEREF _Toc124499089 \h </w:instrText>
        </w:r>
        <w:r>
          <w:rPr>
            <w:b/>
          </w:rPr>
        </w:r>
        <w:r>
          <w:rPr>
            <w:b/>
          </w:rPr>
          <w:fldChar w:fldCharType="separate"/>
        </w:r>
        <w:r>
          <w:rPr>
            <w:b/>
          </w:rPr>
          <w:t xml:space="preserve">9</w:t>
        </w:r>
        <w:r>
          <w:rPr>
            <w:b/>
          </w:rPr>
          <w:fldChar w:fldCharType="end"/>
        </w:r>
      </w:hyperlink>
      <w:r/>
      <w:r>
        <w:rPr>
          <w:b/>
          <w:bCs/>
          <w:sz w:val="22"/>
          <w:szCs w:val="22"/>
        </w:rPr>
      </w:r>
    </w:p>
    <w:p>
      <w:pPr>
        <w:pStyle w:val="1119"/>
        <w:ind w:right="140"/>
        <w:jc w:val="both"/>
        <w:spacing w:after="0"/>
        <w:rPr>
          <w:b/>
          <w:sz w:val="22"/>
          <w:szCs w:val="22"/>
        </w:rPr>
      </w:pPr>
      <w:r/>
      <w:hyperlink w:tooltip="#_Toc124499090" w:anchor="_Toc124499090" w:history="1">
        <w:r>
          <w:rPr>
            <w:rStyle w:val="1111"/>
            <w:b/>
            <w:bCs/>
          </w:rPr>
          <w:t xml:space="preserve">4.1.</w:t>
        </w:r>
        <w:r>
          <w:rPr>
            <w:b/>
            <w:sz w:val="22"/>
            <w:szCs w:val="22"/>
          </w:rPr>
          <w:tab/>
        </w:r>
        <w:r>
          <w:rPr>
            <w:rStyle w:val="1111"/>
            <w:b/>
            <w:bCs/>
          </w:rPr>
          <w:t xml:space="preserve">Организационные требования пожарной безопасности</w:t>
        </w:r>
        <w:r>
          <w:rPr>
            <w:b/>
          </w:rPr>
          <w:tab/>
        </w:r>
        <w:r>
          <w:rPr>
            <w:b/>
          </w:rPr>
          <w:fldChar w:fldCharType="begin"/>
        </w:r>
        <w:r>
          <w:rPr>
            <w:b/>
          </w:rPr>
          <w:instrText xml:space="preserve"> PAGEREF _Toc124499090 \h </w:instrText>
        </w:r>
        <w:r>
          <w:rPr>
            <w:b/>
          </w:rPr>
        </w:r>
        <w:r>
          <w:rPr>
            <w:b/>
          </w:rPr>
          <w:fldChar w:fldCharType="separate"/>
        </w:r>
        <w:r>
          <w:rPr>
            <w:b/>
          </w:rPr>
          <w:t xml:space="preserve">9</w:t>
        </w:r>
        <w:r>
          <w:rPr>
            <w:b/>
          </w:rPr>
          <w:fldChar w:fldCharType="end"/>
        </w:r>
      </w:hyperlink>
      <w:r/>
      <w:r>
        <w:rPr>
          <w:b/>
          <w:sz w:val="22"/>
          <w:szCs w:val="22"/>
        </w:rPr>
      </w:r>
    </w:p>
    <w:p>
      <w:pPr>
        <w:pStyle w:val="1119"/>
        <w:ind w:right="140"/>
        <w:jc w:val="both"/>
        <w:spacing w:after="0"/>
        <w:rPr>
          <w:b/>
          <w:sz w:val="22"/>
          <w:szCs w:val="22"/>
        </w:rPr>
      </w:pPr>
      <w:r/>
      <w:hyperlink w:tooltip="#_Toc124499091" w:anchor="_Toc124499091" w:history="1">
        <w:r>
          <w:rPr>
            <w:rStyle w:val="1111"/>
            <w:b/>
          </w:rPr>
          <w:t xml:space="preserve">4.2.</w:t>
        </w:r>
        <w:r>
          <w:rPr>
            <w:b/>
            <w:sz w:val="22"/>
            <w:szCs w:val="22"/>
          </w:rPr>
          <w:tab/>
        </w:r>
        <w:r>
          <w:rPr>
            <w:rStyle w:val="1111"/>
            <w:b/>
          </w:rPr>
          <w:t xml:space="preserve">Организация обучения мерам пожарной безопасности</w:t>
        </w:r>
        <w:r>
          <w:rPr>
            <w:b/>
          </w:rPr>
          <w:tab/>
        </w:r>
        <w:r>
          <w:rPr>
            <w:b/>
          </w:rPr>
          <w:fldChar w:fldCharType="begin"/>
        </w:r>
        <w:r>
          <w:rPr>
            <w:b/>
          </w:rPr>
          <w:instrText xml:space="preserve"> PAGEREF _Toc124499091 \h </w:instrText>
        </w:r>
        <w:r>
          <w:rPr>
            <w:b/>
          </w:rPr>
        </w:r>
        <w:r>
          <w:rPr>
            <w:b/>
          </w:rPr>
          <w:fldChar w:fldCharType="separate"/>
        </w:r>
        <w:r>
          <w:rPr>
            <w:b/>
          </w:rPr>
          <w:t xml:space="preserve">11</w:t>
        </w:r>
        <w:r>
          <w:rPr>
            <w:b/>
          </w:rPr>
          <w:fldChar w:fldCharType="end"/>
        </w:r>
      </w:hyperlink>
      <w:r/>
      <w:r>
        <w:rPr>
          <w:b/>
          <w:sz w:val="22"/>
          <w:szCs w:val="22"/>
        </w:rPr>
      </w:r>
    </w:p>
    <w:p>
      <w:pPr>
        <w:pStyle w:val="1119"/>
        <w:ind w:right="140"/>
        <w:jc w:val="both"/>
        <w:spacing w:after="0"/>
        <w:rPr>
          <w:b/>
          <w:sz w:val="22"/>
          <w:szCs w:val="22"/>
        </w:rPr>
      </w:pPr>
      <w:r/>
      <w:hyperlink w:tooltip="#_Toc124499092" w:anchor="_Toc124499092" w:history="1">
        <w:r>
          <w:rPr>
            <w:rStyle w:val="1111"/>
            <w:b/>
          </w:rPr>
          <w:t xml:space="preserve">4.3.</w:t>
        </w:r>
        <w:r>
          <w:rPr>
            <w:b/>
            <w:sz w:val="22"/>
            <w:szCs w:val="22"/>
          </w:rPr>
          <w:tab/>
        </w:r>
        <w:r>
          <w:rPr>
            <w:rStyle w:val="1111"/>
            <w:b/>
          </w:rPr>
          <w:t xml:space="preserve">Работа по профилактике нарушений требований пожарной безопасности и предупреждению пожаров</w:t>
        </w:r>
        <w:r>
          <w:rPr>
            <w:b/>
          </w:rPr>
          <w:tab/>
        </w:r>
        <w:r>
          <w:rPr>
            <w:b/>
          </w:rPr>
          <w:fldChar w:fldCharType="begin"/>
        </w:r>
        <w:r>
          <w:rPr>
            <w:b/>
          </w:rPr>
          <w:instrText xml:space="preserve"> PAGEREF _Toc124499092 \h </w:instrText>
        </w:r>
        <w:r>
          <w:rPr>
            <w:b/>
          </w:rPr>
        </w:r>
        <w:r>
          <w:rPr>
            <w:b/>
          </w:rPr>
          <w:fldChar w:fldCharType="separate"/>
        </w:r>
        <w:r>
          <w:rPr>
            <w:b/>
          </w:rPr>
          <w:t xml:space="preserve">13</w:t>
        </w:r>
        <w:r>
          <w:rPr>
            <w:b/>
          </w:rPr>
          <w:fldChar w:fldCharType="end"/>
        </w:r>
      </w:hyperlink>
      <w:r/>
      <w:r>
        <w:rPr>
          <w:b/>
          <w:sz w:val="22"/>
          <w:szCs w:val="22"/>
        </w:rPr>
      </w:r>
    </w:p>
    <w:p>
      <w:pPr>
        <w:pStyle w:val="1119"/>
        <w:ind w:right="140"/>
        <w:jc w:val="both"/>
        <w:spacing w:after="0"/>
        <w:rPr>
          <w:b/>
          <w:sz w:val="22"/>
          <w:szCs w:val="22"/>
        </w:rPr>
      </w:pPr>
      <w:r/>
      <w:hyperlink w:tooltip="#_Toc124499093" w:anchor="_Toc124499093" w:history="1">
        <w:r>
          <w:rPr>
            <w:rStyle w:val="1111"/>
            <w:b/>
          </w:rPr>
          <w:t xml:space="preserve">4.4.</w:t>
        </w:r>
        <w:r>
          <w:rPr>
            <w:b/>
            <w:sz w:val="22"/>
            <w:szCs w:val="22"/>
          </w:rPr>
          <w:tab/>
        </w:r>
        <w:r>
          <w:rPr>
            <w:rStyle w:val="1111"/>
            <w:b/>
          </w:rPr>
          <w:t xml:space="preserve">Основная документация по пожарной безопасности</w:t>
        </w:r>
        <w:r>
          <w:rPr>
            <w:b/>
          </w:rPr>
          <w:tab/>
        </w:r>
        <w:r>
          <w:rPr>
            <w:b/>
          </w:rPr>
          <w:fldChar w:fldCharType="begin"/>
        </w:r>
        <w:r>
          <w:rPr>
            <w:b/>
          </w:rPr>
          <w:instrText xml:space="preserve"> PAGEREF _Toc124499093 \h </w:instrText>
        </w:r>
        <w:r>
          <w:rPr>
            <w:b/>
          </w:rPr>
        </w:r>
        <w:r>
          <w:rPr>
            <w:b/>
          </w:rPr>
          <w:fldChar w:fldCharType="separate"/>
        </w:r>
        <w:r>
          <w:rPr>
            <w:b/>
          </w:rPr>
          <w:t xml:space="preserve">14</w:t>
        </w:r>
        <w:r>
          <w:rPr>
            <w:b/>
          </w:rPr>
          <w:fldChar w:fldCharType="end"/>
        </w:r>
      </w:hyperlink>
      <w:r/>
      <w:r>
        <w:rPr>
          <w:b/>
          <w:sz w:val="22"/>
          <w:szCs w:val="22"/>
        </w:rPr>
      </w:r>
    </w:p>
    <w:p>
      <w:pPr>
        <w:pStyle w:val="1118"/>
        <w:rPr>
          <w:b/>
          <w:bCs/>
          <w:sz w:val="22"/>
          <w:szCs w:val="22"/>
        </w:rPr>
      </w:pPr>
      <w:r/>
      <w:hyperlink w:tooltip="#_Toc124499094" w:anchor="_Toc124499094" w:history="1">
        <w:r>
          <w:rPr>
            <w:rStyle w:val="1111"/>
            <w:b/>
          </w:rPr>
          <w:t xml:space="preserve">5.</w:t>
        </w:r>
        <w:r>
          <w:rPr>
            <w:b/>
            <w:bCs/>
            <w:sz w:val="22"/>
            <w:szCs w:val="22"/>
          </w:rPr>
          <w:tab/>
        </w:r>
        <w:r>
          <w:rPr>
            <w:rStyle w:val="1111"/>
            <w:b/>
          </w:rPr>
          <w:t xml:space="preserve">Требования пожарной безопасности к содержанию территорий</w:t>
        </w:r>
        <w:r>
          <w:rPr>
            <w:b/>
          </w:rPr>
          <w:tab/>
        </w:r>
        <w:r>
          <w:rPr>
            <w:b/>
          </w:rPr>
          <w:fldChar w:fldCharType="begin"/>
        </w:r>
        <w:r>
          <w:rPr>
            <w:b/>
          </w:rPr>
          <w:instrText xml:space="preserve"> PAGEREF _Toc124499094 \h </w:instrText>
        </w:r>
        <w:r>
          <w:rPr>
            <w:b/>
          </w:rPr>
        </w:r>
        <w:r>
          <w:rPr>
            <w:b/>
          </w:rPr>
          <w:fldChar w:fldCharType="separate"/>
        </w:r>
        <w:r>
          <w:rPr>
            <w:b/>
          </w:rPr>
          <w:t xml:space="preserve">16</w:t>
        </w:r>
        <w:r>
          <w:rPr>
            <w:b/>
          </w:rPr>
          <w:fldChar w:fldCharType="end"/>
        </w:r>
      </w:hyperlink>
      <w:r/>
      <w:r>
        <w:rPr>
          <w:b/>
          <w:bCs/>
          <w:sz w:val="22"/>
          <w:szCs w:val="22"/>
        </w:rPr>
      </w:r>
    </w:p>
    <w:p>
      <w:pPr>
        <w:pStyle w:val="1118"/>
        <w:rPr>
          <w:b/>
          <w:bCs/>
          <w:sz w:val="22"/>
          <w:szCs w:val="22"/>
        </w:rPr>
      </w:pPr>
      <w:r/>
      <w:hyperlink w:tooltip="#_Toc124499095" w:anchor="_Toc124499095" w:history="1">
        <w:r>
          <w:rPr>
            <w:rStyle w:val="1111"/>
            <w:b/>
          </w:rPr>
          <w:t xml:space="preserve">6.</w:t>
        </w:r>
        <w:r>
          <w:rPr>
            <w:b/>
            <w:bCs/>
            <w:sz w:val="22"/>
            <w:szCs w:val="22"/>
          </w:rPr>
          <w:tab/>
        </w:r>
        <w:r>
          <w:rPr>
            <w:rStyle w:val="1111"/>
            <w:b/>
          </w:rPr>
          <w:t xml:space="preserve">Требования пожарной безопасности к содержанию оборудования, зданий, помещений и сооружений</w:t>
        </w:r>
        <w:r>
          <w:rPr>
            <w:b/>
          </w:rPr>
          <w:tab/>
        </w:r>
        <w:r>
          <w:rPr>
            <w:b/>
          </w:rPr>
          <w:fldChar w:fldCharType="begin"/>
        </w:r>
        <w:r>
          <w:rPr>
            <w:b/>
          </w:rPr>
          <w:instrText xml:space="preserve"> PAGEREF _Toc124499095 \h </w:instrText>
        </w:r>
        <w:r>
          <w:rPr>
            <w:b/>
          </w:rPr>
        </w:r>
        <w:r>
          <w:rPr>
            <w:b/>
          </w:rPr>
          <w:fldChar w:fldCharType="separate"/>
        </w:r>
        <w:r>
          <w:rPr>
            <w:b/>
          </w:rPr>
          <w:t xml:space="preserve">18</w:t>
        </w:r>
        <w:r>
          <w:rPr>
            <w:b/>
          </w:rPr>
          <w:fldChar w:fldCharType="end"/>
        </w:r>
      </w:hyperlink>
      <w:r/>
      <w:r>
        <w:rPr>
          <w:b/>
          <w:bCs/>
          <w:sz w:val="22"/>
          <w:szCs w:val="22"/>
        </w:rPr>
      </w:r>
    </w:p>
    <w:p>
      <w:pPr>
        <w:pStyle w:val="1119"/>
        <w:ind w:right="140"/>
        <w:jc w:val="both"/>
        <w:spacing w:after="0"/>
        <w:rPr>
          <w:b/>
          <w:sz w:val="22"/>
          <w:szCs w:val="22"/>
        </w:rPr>
      </w:pPr>
      <w:r/>
      <w:hyperlink w:tooltip="#_Toc124499096" w:anchor="_Toc124499096" w:history="1">
        <w:r>
          <w:rPr>
            <w:rStyle w:val="1111"/>
            <w:b/>
          </w:rPr>
          <w:t xml:space="preserve">6.1.</w:t>
        </w:r>
        <w:r>
          <w:rPr>
            <w:b/>
            <w:sz w:val="22"/>
            <w:szCs w:val="22"/>
          </w:rPr>
          <w:tab/>
        </w:r>
        <w:r>
          <w:rPr>
            <w:rStyle w:val="1111"/>
            <w:b/>
          </w:rPr>
          <w:t xml:space="preserve">Основные требования к содержанию зданий, сооружений и помещений</w:t>
        </w:r>
        <w:r>
          <w:rPr>
            <w:b/>
          </w:rPr>
          <w:tab/>
        </w:r>
        <w:r>
          <w:rPr>
            <w:b/>
          </w:rPr>
          <w:fldChar w:fldCharType="begin"/>
        </w:r>
        <w:r>
          <w:rPr>
            <w:b/>
          </w:rPr>
          <w:instrText xml:space="preserve"> PAGEREF _Toc124499096 \h </w:instrText>
        </w:r>
        <w:r>
          <w:rPr>
            <w:b/>
          </w:rPr>
        </w:r>
        <w:r>
          <w:rPr>
            <w:b/>
          </w:rPr>
          <w:fldChar w:fldCharType="separate"/>
        </w:r>
        <w:r>
          <w:rPr>
            <w:b/>
          </w:rPr>
          <w:t xml:space="preserve">18</w:t>
        </w:r>
        <w:r>
          <w:rPr>
            <w:b/>
          </w:rPr>
          <w:fldChar w:fldCharType="end"/>
        </w:r>
      </w:hyperlink>
      <w:r/>
      <w:r>
        <w:rPr>
          <w:b/>
          <w:sz w:val="22"/>
          <w:szCs w:val="22"/>
        </w:rPr>
      </w:r>
    </w:p>
    <w:p>
      <w:pPr>
        <w:pStyle w:val="1119"/>
        <w:ind w:right="140"/>
        <w:jc w:val="both"/>
        <w:spacing w:after="0"/>
        <w:rPr>
          <w:b/>
          <w:sz w:val="22"/>
          <w:szCs w:val="22"/>
        </w:rPr>
      </w:pPr>
      <w:r/>
      <w:hyperlink w:tooltip="#_Toc124499097" w:anchor="_Toc124499097" w:history="1">
        <w:r>
          <w:rPr>
            <w:rStyle w:val="1111"/>
            <w:b/>
          </w:rPr>
          <w:t xml:space="preserve">6.2.</w:t>
        </w:r>
        <w:r>
          <w:rPr>
            <w:b/>
            <w:sz w:val="22"/>
            <w:szCs w:val="22"/>
          </w:rPr>
          <w:tab/>
        </w:r>
        <w:r>
          <w:rPr>
            <w:rStyle w:val="1111"/>
            <w:b/>
          </w:rPr>
          <w:t xml:space="preserve">Силовые (авто-) трансформаторы, масляные реакторы, синхронные компенсаторы, маслонаполненное оборудование</w:t>
        </w:r>
        <w:r>
          <w:rPr>
            <w:b/>
          </w:rPr>
          <w:tab/>
        </w:r>
        <w:r>
          <w:rPr>
            <w:b/>
          </w:rPr>
          <w:fldChar w:fldCharType="begin"/>
        </w:r>
        <w:r>
          <w:rPr>
            <w:b/>
          </w:rPr>
          <w:instrText xml:space="preserve"> PAGEREF _Toc124499097 \h </w:instrText>
        </w:r>
        <w:r>
          <w:rPr>
            <w:b/>
          </w:rPr>
        </w:r>
        <w:r>
          <w:rPr>
            <w:b/>
          </w:rPr>
          <w:fldChar w:fldCharType="separate"/>
        </w:r>
        <w:r>
          <w:rPr>
            <w:b/>
          </w:rPr>
          <w:t xml:space="preserve">27</w:t>
        </w:r>
        <w:r>
          <w:rPr>
            <w:b/>
          </w:rPr>
          <w:fldChar w:fldCharType="end"/>
        </w:r>
      </w:hyperlink>
      <w:r/>
      <w:r>
        <w:rPr>
          <w:b/>
          <w:sz w:val="22"/>
          <w:szCs w:val="22"/>
        </w:rPr>
      </w:r>
    </w:p>
    <w:p>
      <w:pPr>
        <w:pStyle w:val="1119"/>
        <w:ind w:right="140"/>
        <w:jc w:val="both"/>
        <w:spacing w:after="0"/>
        <w:rPr>
          <w:b/>
          <w:sz w:val="22"/>
          <w:szCs w:val="22"/>
        </w:rPr>
      </w:pPr>
      <w:r/>
      <w:hyperlink w:tooltip="#_Toc124499098" w:anchor="_Toc124499098" w:history="1">
        <w:r>
          <w:rPr>
            <w:rStyle w:val="1111"/>
            <w:b/>
          </w:rPr>
          <w:t xml:space="preserve">6.3.</w:t>
        </w:r>
        <w:r>
          <w:rPr>
            <w:b/>
            <w:sz w:val="22"/>
            <w:szCs w:val="22"/>
          </w:rPr>
          <w:tab/>
        </w:r>
        <w:r>
          <w:rPr>
            <w:rStyle w:val="1111"/>
            <w:b/>
          </w:rPr>
          <w:t xml:space="preserve">Распределительные устройства</w:t>
        </w:r>
        <w:r>
          <w:rPr>
            <w:b/>
          </w:rPr>
          <w:tab/>
        </w:r>
        <w:r>
          <w:rPr>
            <w:b/>
          </w:rPr>
          <w:fldChar w:fldCharType="begin"/>
        </w:r>
        <w:r>
          <w:rPr>
            <w:b/>
          </w:rPr>
          <w:instrText xml:space="preserve"> PAGEREF _Toc124499098 \h </w:instrText>
        </w:r>
        <w:r>
          <w:rPr>
            <w:b/>
          </w:rPr>
        </w:r>
        <w:r>
          <w:rPr>
            <w:b/>
          </w:rPr>
          <w:fldChar w:fldCharType="separate"/>
        </w:r>
        <w:r>
          <w:rPr>
            <w:b/>
          </w:rPr>
          <w:t xml:space="preserve">28</w:t>
        </w:r>
        <w:r>
          <w:rPr>
            <w:b/>
          </w:rPr>
          <w:fldChar w:fldCharType="end"/>
        </w:r>
      </w:hyperlink>
      <w:r/>
      <w:r>
        <w:rPr>
          <w:b/>
          <w:sz w:val="22"/>
          <w:szCs w:val="22"/>
        </w:rPr>
      </w:r>
    </w:p>
    <w:p>
      <w:pPr>
        <w:pStyle w:val="1119"/>
        <w:ind w:right="140"/>
        <w:jc w:val="both"/>
        <w:spacing w:after="0"/>
        <w:rPr>
          <w:b/>
          <w:sz w:val="22"/>
          <w:szCs w:val="22"/>
        </w:rPr>
      </w:pPr>
      <w:r/>
      <w:hyperlink w:tooltip="#_Toc124499099" w:anchor="_Toc124499099" w:history="1">
        <w:r>
          <w:rPr>
            <w:rStyle w:val="1111"/>
            <w:b/>
          </w:rPr>
          <w:t xml:space="preserve">6.4.</w:t>
        </w:r>
        <w:r>
          <w:rPr>
            <w:b/>
            <w:sz w:val="22"/>
            <w:szCs w:val="22"/>
          </w:rPr>
          <w:tab/>
        </w:r>
        <w:r>
          <w:rPr>
            <w:rStyle w:val="1111"/>
            <w:b/>
          </w:rPr>
          <w:t xml:space="preserve">Кабельное хозяйство</w:t>
        </w:r>
        <w:r>
          <w:rPr>
            <w:b/>
          </w:rPr>
          <w:tab/>
        </w:r>
        <w:r>
          <w:rPr>
            <w:b/>
          </w:rPr>
          <w:fldChar w:fldCharType="begin"/>
        </w:r>
        <w:r>
          <w:rPr>
            <w:b/>
          </w:rPr>
          <w:instrText xml:space="preserve"> PAGEREF _Toc124499099 \h </w:instrText>
        </w:r>
        <w:r>
          <w:rPr>
            <w:b/>
          </w:rPr>
        </w:r>
        <w:r>
          <w:rPr>
            <w:b/>
          </w:rPr>
          <w:fldChar w:fldCharType="separate"/>
        </w:r>
        <w:r>
          <w:rPr>
            <w:b/>
          </w:rPr>
          <w:t xml:space="preserve">30</w:t>
        </w:r>
        <w:r>
          <w:rPr>
            <w:b/>
          </w:rPr>
          <w:fldChar w:fldCharType="end"/>
        </w:r>
      </w:hyperlink>
      <w:r/>
      <w:r>
        <w:rPr>
          <w:b/>
          <w:sz w:val="22"/>
          <w:szCs w:val="22"/>
        </w:rPr>
      </w:r>
    </w:p>
    <w:p>
      <w:pPr>
        <w:pStyle w:val="1119"/>
        <w:ind w:right="140"/>
        <w:jc w:val="both"/>
        <w:spacing w:after="0"/>
        <w:rPr>
          <w:b/>
          <w:sz w:val="22"/>
          <w:szCs w:val="22"/>
        </w:rPr>
      </w:pPr>
      <w:r/>
      <w:hyperlink w:tooltip="#_Toc124499100" w:anchor="_Toc124499100" w:history="1">
        <w:r>
          <w:rPr>
            <w:rStyle w:val="1111"/>
            <w:b/>
          </w:rPr>
          <w:t xml:space="preserve">6.5.</w:t>
        </w:r>
        <w:r>
          <w:rPr>
            <w:b/>
            <w:sz w:val="22"/>
            <w:szCs w:val="22"/>
          </w:rPr>
          <w:tab/>
        </w:r>
        <w:r>
          <w:rPr>
            <w:rStyle w:val="1111"/>
            <w:b/>
          </w:rPr>
          <w:t xml:space="preserve">Аккумуляторные установки</w:t>
        </w:r>
        <w:r>
          <w:rPr>
            <w:b/>
          </w:rPr>
          <w:tab/>
        </w:r>
        <w:r>
          <w:rPr>
            <w:b/>
          </w:rPr>
          <w:fldChar w:fldCharType="begin"/>
        </w:r>
        <w:r>
          <w:rPr>
            <w:b/>
          </w:rPr>
          <w:instrText xml:space="preserve"> PAGEREF _Toc124499100 \h </w:instrText>
        </w:r>
        <w:r>
          <w:rPr>
            <w:b/>
          </w:rPr>
        </w:r>
        <w:r>
          <w:rPr>
            <w:b/>
          </w:rPr>
          <w:fldChar w:fldCharType="separate"/>
        </w:r>
        <w:r>
          <w:rPr>
            <w:b/>
          </w:rPr>
          <w:t xml:space="preserve">33</w:t>
        </w:r>
        <w:r>
          <w:rPr>
            <w:b/>
          </w:rPr>
          <w:fldChar w:fldCharType="end"/>
        </w:r>
      </w:hyperlink>
      <w:r/>
      <w:r>
        <w:rPr>
          <w:b/>
          <w:sz w:val="22"/>
          <w:szCs w:val="22"/>
        </w:rPr>
      </w:r>
    </w:p>
    <w:p>
      <w:pPr>
        <w:pStyle w:val="1119"/>
        <w:ind w:right="140"/>
        <w:jc w:val="both"/>
        <w:spacing w:after="0"/>
        <w:rPr>
          <w:b/>
          <w:sz w:val="22"/>
          <w:szCs w:val="22"/>
        </w:rPr>
      </w:pPr>
      <w:r/>
      <w:hyperlink w:tooltip="#_Toc124499101" w:anchor="_Toc124499101" w:history="1">
        <w:r>
          <w:rPr>
            <w:rStyle w:val="1111"/>
            <w:b/>
          </w:rPr>
          <w:t xml:space="preserve">6.6.</w:t>
        </w:r>
        <w:r>
          <w:rPr>
            <w:b/>
            <w:sz w:val="22"/>
            <w:szCs w:val="22"/>
          </w:rPr>
          <w:tab/>
        </w:r>
        <w:r>
          <w:rPr>
            <w:rStyle w:val="1111"/>
            <w:b/>
          </w:rPr>
          <w:t xml:space="preserve">Компрессорные установки</w:t>
        </w:r>
        <w:r>
          <w:rPr>
            <w:b/>
          </w:rPr>
          <w:tab/>
        </w:r>
        <w:r>
          <w:rPr>
            <w:b/>
          </w:rPr>
          <w:fldChar w:fldCharType="begin"/>
        </w:r>
        <w:r>
          <w:rPr>
            <w:b/>
          </w:rPr>
          <w:instrText xml:space="preserve"> PAGEREF _Toc124499101 \h </w:instrText>
        </w:r>
        <w:r>
          <w:rPr>
            <w:b/>
          </w:rPr>
        </w:r>
        <w:r>
          <w:rPr>
            <w:b/>
          </w:rPr>
          <w:fldChar w:fldCharType="separate"/>
        </w:r>
        <w:r>
          <w:rPr>
            <w:b/>
          </w:rPr>
          <w:t xml:space="preserve">34</w:t>
        </w:r>
        <w:r>
          <w:rPr>
            <w:b/>
          </w:rPr>
          <w:fldChar w:fldCharType="end"/>
        </w:r>
      </w:hyperlink>
      <w:r/>
      <w:r>
        <w:rPr>
          <w:b/>
          <w:sz w:val="22"/>
          <w:szCs w:val="22"/>
        </w:rPr>
      </w:r>
    </w:p>
    <w:p>
      <w:pPr>
        <w:pStyle w:val="1119"/>
        <w:ind w:right="140"/>
        <w:jc w:val="both"/>
        <w:spacing w:after="0"/>
        <w:rPr>
          <w:b/>
          <w:sz w:val="22"/>
          <w:szCs w:val="22"/>
        </w:rPr>
      </w:pPr>
      <w:r/>
      <w:hyperlink w:tooltip="#_Toc124499102" w:anchor="_Toc124499102" w:history="1">
        <w:r>
          <w:rPr>
            <w:rStyle w:val="1111"/>
            <w:b/>
          </w:rPr>
          <w:t xml:space="preserve">6.7.</w:t>
        </w:r>
        <w:r>
          <w:rPr>
            <w:b/>
            <w:sz w:val="22"/>
            <w:szCs w:val="22"/>
          </w:rPr>
          <w:tab/>
        </w:r>
        <w:r>
          <w:rPr>
            <w:rStyle w:val="1111"/>
            <w:b/>
          </w:rPr>
          <w:t xml:space="preserve">Лаборатории (химические)</w:t>
        </w:r>
        <w:r>
          <w:rPr>
            <w:b/>
          </w:rPr>
          <w:tab/>
        </w:r>
        <w:r>
          <w:rPr>
            <w:b/>
          </w:rPr>
          <w:fldChar w:fldCharType="begin"/>
        </w:r>
        <w:r>
          <w:rPr>
            <w:b/>
          </w:rPr>
          <w:instrText xml:space="preserve"> PAGEREF _Toc124499102 \h </w:instrText>
        </w:r>
        <w:r>
          <w:rPr>
            <w:b/>
          </w:rPr>
        </w:r>
        <w:r>
          <w:rPr>
            <w:b/>
          </w:rPr>
          <w:fldChar w:fldCharType="separate"/>
        </w:r>
        <w:r>
          <w:rPr>
            <w:b/>
          </w:rPr>
          <w:t xml:space="preserve">34</w:t>
        </w:r>
        <w:r>
          <w:rPr>
            <w:b/>
          </w:rPr>
          <w:fldChar w:fldCharType="end"/>
        </w:r>
      </w:hyperlink>
      <w:r/>
      <w:r>
        <w:rPr>
          <w:b/>
          <w:sz w:val="22"/>
          <w:szCs w:val="22"/>
        </w:rPr>
      </w:r>
    </w:p>
    <w:p>
      <w:pPr>
        <w:pStyle w:val="1119"/>
        <w:ind w:right="140"/>
        <w:jc w:val="both"/>
        <w:spacing w:after="0"/>
        <w:rPr>
          <w:b/>
          <w:sz w:val="22"/>
          <w:szCs w:val="22"/>
        </w:rPr>
      </w:pPr>
      <w:r/>
      <w:hyperlink w:tooltip="#_Toc124499103" w:anchor="_Toc124499103" w:history="1">
        <w:r>
          <w:rPr>
            <w:rStyle w:val="1111"/>
            <w:b/>
          </w:rPr>
          <w:t xml:space="preserve">6.8.</w:t>
        </w:r>
        <w:r>
          <w:rPr>
            <w:b/>
            <w:sz w:val="22"/>
            <w:szCs w:val="22"/>
          </w:rPr>
          <w:tab/>
        </w:r>
        <w:r>
          <w:rPr>
            <w:rStyle w:val="1111"/>
            <w:b/>
          </w:rPr>
          <w:t xml:space="preserve">Воздушные линии электропередачи</w:t>
        </w:r>
        <w:r>
          <w:rPr>
            <w:b/>
          </w:rPr>
          <w:tab/>
        </w:r>
        <w:r>
          <w:rPr>
            <w:b/>
          </w:rPr>
          <w:fldChar w:fldCharType="begin"/>
        </w:r>
        <w:r>
          <w:rPr>
            <w:b/>
          </w:rPr>
          <w:instrText xml:space="preserve"> PAGEREF _Toc124499103 \h </w:instrText>
        </w:r>
        <w:r>
          <w:rPr>
            <w:b/>
          </w:rPr>
        </w:r>
        <w:r>
          <w:rPr>
            <w:b/>
          </w:rPr>
          <w:fldChar w:fldCharType="separate"/>
        </w:r>
        <w:r>
          <w:rPr>
            <w:b/>
          </w:rPr>
          <w:t xml:space="preserve">37</w:t>
        </w:r>
        <w:r>
          <w:rPr>
            <w:b/>
          </w:rPr>
          <w:fldChar w:fldCharType="end"/>
        </w:r>
      </w:hyperlink>
      <w:r/>
      <w:r>
        <w:rPr>
          <w:b/>
          <w:sz w:val="22"/>
          <w:szCs w:val="22"/>
        </w:rPr>
      </w:r>
    </w:p>
    <w:p>
      <w:pPr>
        <w:pStyle w:val="1119"/>
        <w:ind w:right="140"/>
        <w:jc w:val="both"/>
        <w:spacing w:after="0"/>
        <w:rPr>
          <w:b/>
          <w:sz w:val="22"/>
          <w:szCs w:val="22"/>
        </w:rPr>
      </w:pPr>
      <w:r/>
      <w:hyperlink w:tooltip="#_Toc124499104" w:anchor="_Toc124499104" w:history="1">
        <w:r>
          <w:rPr>
            <w:rStyle w:val="1111"/>
            <w:b/>
          </w:rPr>
          <w:t xml:space="preserve">6.9.</w:t>
        </w:r>
        <w:r>
          <w:rPr>
            <w:b/>
            <w:sz w:val="22"/>
            <w:szCs w:val="22"/>
          </w:rPr>
          <w:tab/>
        </w:r>
        <w:r>
          <w:rPr>
            <w:rStyle w:val="1111"/>
            <w:b/>
          </w:rPr>
          <w:t xml:space="preserve">Резервные источники системы электроснабжения</w:t>
        </w:r>
        <w:r>
          <w:rPr>
            <w:b/>
          </w:rPr>
          <w:tab/>
        </w:r>
        <w:r>
          <w:rPr>
            <w:b/>
          </w:rPr>
          <w:fldChar w:fldCharType="begin"/>
        </w:r>
        <w:r>
          <w:rPr>
            <w:b/>
          </w:rPr>
          <w:instrText xml:space="preserve"> PAGEREF _Toc124499104 \h </w:instrText>
        </w:r>
        <w:r>
          <w:rPr>
            <w:b/>
          </w:rPr>
        </w:r>
        <w:r>
          <w:rPr>
            <w:b/>
          </w:rPr>
          <w:fldChar w:fldCharType="separate"/>
        </w:r>
        <w:r>
          <w:rPr>
            <w:b/>
          </w:rPr>
          <w:t xml:space="preserve">39</w:t>
        </w:r>
        <w:r>
          <w:rPr>
            <w:b/>
          </w:rPr>
          <w:fldChar w:fldCharType="end"/>
        </w:r>
      </w:hyperlink>
      <w:r/>
      <w:r>
        <w:rPr>
          <w:b/>
          <w:sz w:val="22"/>
          <w:szCs w:val="22"/>
        </w:rPr>
      </w:r>
    </w:p>
    <w:p>
      <w:pPr>
        <w:pStyle w:val="1119"/>
        <w:ind w:right="140"/>
        <w:jc w:val="both"/>
        <w:spacing w:after="0"/>
        <w:rPr>
          <w:b/>
          <w:sz w:val="22"/>
          <w:szCs w:val="22"/>
        </w:rPr>
      </w:pPr>
      <w:r/>
      <w:hyperlink w:tooltip="#_Toc124499105" w:anchor="_Toc124499105" w:history="1">
        <w:r>
          <w:rPr>
            <w:rStyle w:val="1111"/>
            <w:b/>
          </w:rPr>
          <w:t xml:space="preserve">6.10.</w:t>
        </w:r>
        <w:r>
          <w:rPr>
            <w:b/>
            <w:sz w:val="22"/>
            <w:szCs w:val="22"/>
          </w:rPr>
          <w:tab/>
        </w:r>
        <w:r>
          <w:rPr>
            <w:rStyle w:val="1111"/>
            <w:b/>
          </w:rPr>
          <w:t xml:space="preserve">Сооружения и установки для хранения, транспортировки и технологических операций с топливом, маслами и другими нефтепродуктами</w:t>
        </w:r>
        <w:r>
          <w:rPr>
            <w:b/>
          </w:rPr>
          <w:tab/>
        </w:r>
        <w:r>
          <w:rPr>
            <w:b/>
          </w:rPr>
          <w:fldChar w:fldCharType="begin"/>
        </w:r>
        <w:r>
          <w:rPr>
            <w:b/>
          </w:rPr>
          <w:instrText xml:space="preserve"> PAGEREF _Toc124499105 \h </w:instrText>
        </w:r>
        <w:r>
          <w:rPr>
            <w:b/>
          </w:rPr>
        </w:r>
        <w:r>
          <w:rPr>
            <w:b/>
          </w:rPr>
          <w:fldChar w:fldCharType="separate"/>
        </w:r>
        <w:r>
          <w:rPr>
            <w:b/>
          </w:rPr>
          <w:t xml:space="preserve">40</w:t>
        </w:r>
        <w:r>
          <w:rPr>
            <w:b/>
          </w:rPr>
          <w:fldChar w:fldCharType="end"/>
        </w:r>
      </w:hyperlink>
      <w:r/>
      <w:r>
        <w:rPr>
          <w:b/>
          <w:sz w:val="22"/>
          <w:szCs w:val="22"/>
        </w:rPr>
      </w:r>
    </w:p>
    <w:p>
      <w:pPr>
        <w:pStyle w:val="1118"/>
        <w:rPr>
          <w:b/>
          <w:bCs/>
          <w:sz w:val="22"/>
          <w:szCs w:val="22"/>
        </w:rPr>
      </w:pPr>
      <w:r/>
      <w:hyperlink w:tooltip="#_Toc124499106" w:anchor="_Toc124499106" w:history="1">
        <w:r>
          <w:rPr>
            <w:rStyle w:val="1111"/>
            <w:b/>
          </w:rPr>
          <w:t xml:space="preserve">7.</w:t>
        </w:r>
        <w:r>
          <w:rPr>
            <w:b/>
            <w:bCs/>
            <w:sz w:val="22"/>
            <w:szCs w:val="22"/>
          </w:rPr>
          <w:tab/>
        </w:r>
        <w:r>
          <w:rPr>
            <w:rStyle w:val="1111"/>
            <w:b/>
          </w:rPr>
          <w:t xml:space="preserve">Складское хозяйство</w:t>
        </w:r>
        <w:r>
          <w:rPr>
            <w:b/>
          </w:rPr>
          <w:tab/>
        </w:r>
        <w:r>
          <w:rPr>
            <w:b/>
          </w:rPr>
          <w:fldChar w:fldCharType="begin"/>
        </w:r>
        <w:r>
          <w:rPr>
            <w:b/>
          </w:rPr>
          <w:instrText xml:space="preserve"> PAGEREF _Toc124499106 \h </w:instrText>
        </w:r>
        <w:r>
          <w:rPr>
            <w:b/>
          </w:rPr>
        </w:r>
        <w:r>
          <w:rPr>
            <w:b/>
          </w:rPr>
          <w:fldChar w:fldCharType="separate"/>
        </w:r>
        <w:r>
          <w:rPr>
            <w:b/>
          </w:rPr>
          <w:t xml:space="preserve">44</w:t>
        </w:r>
        <w:r>
          <w:rPr>
            <w:b/>
          </w:rPr>
          <w:fldChar w:fldCharType="end"/>
        </w:r>
      </w:hyperlink>
      <w:r/>
      <w:r>
        <w:rPr>
          <w:b/>
          <w:bCs/>
          <w:sz w:val="22"/>
          <w:szCs w:val="22"/>
        </w:rPr>
      </w:r>
    </w:p>
    <w:p>
      <w:pPr>
        <w:pStyle w:val="1119"/>
        <w:ind w:right="140"/>
        <w:jc w:val="both"/>
        <w:spacing w:after="0"/>
        <w:rPr>
          <w:b/>
          <w:sz w:val="22"/>
          <w:szCs w:val="22"/>
        </w:rPr>
      </w:pPr>
      <w:r/>
      <w:hyperlink w:tooltip="#_Toc124499107" w:anchor="_Toc124499107" w:history="1">
        <w:r>
          <w:rPr>
            <w:rStyle w:val="1111"/>
            <w:b/>
          </w:rPr>
          <w:t xml:space="preserve">7.1.</w:t>
        </w:r>
        <w:r>
          <w:rPr>
            <w:b/>
            <w:sz w:val="22"/>
            <w:szCs w:val="22"/>
          </w:rPr>
          <w:tab/>
        </w:r>
        <w:r>
          <w:rPr>
            <w:rStyle w:val="1111"/>
            <w:b/>
          </w:rPr>
          <w:t xml:space="preserve">Общие требования</w:t>
        </w:r>
        <w:r>
          <w:rPr>
            <w:b/>
          </w:rPr>
          <w:tab/>
        </w:r>
        <w:r>
          <w:rPr>
            <w:b/>
          </w:rPr>
          <w:fldChar w:fldCharType="begin"/>
        </w:r>
        <w:r>
          <w:rPr>
            <w:b/>
          </w:rPr>
          <w:instrText xml:space="preserve"> PAGEREF _Toc124499107 \h </w:instrText>
        </w:r>
        <w:r>
          <w:rPr>
            <w:b/>
          </w:rPr>
        </w:r>
        <w:r>
          <w:rPr>
            <w:b/>
          </w:rPr>
          <w:fldChar w:fldCharType="separate"/>
        </w:r>
        <w:r>
          <w:rPr>
            <w:b/>
          </w:rPr>
          <w:t xml:space="preserve">44</w:t>
        </w:r>
        <w:r>
          <w:rPr>
            <w:b/>
          </w:rPr>
          <w:fldChar w:fldCharType="end"/>
        </w:r>
      </w:hyperlink>
      <w:r/>
      <w:r>
        <w:rPr>
          <w:b/>
          <w:sz w:val="22"/>
          <w:szCs w:val="22"/>
        </w:rPr>
      </w:r>
    </w:p>
    <w:p>
      <w:pPr>
        <w:pStyle w:val="1119"/>
        <w:ind w:right="140"/>
        <w:jc w:val="both"/>
        <w:spacing w:after="0"/>
        <w:rPr>
          <w:b/>
          <w:sz w:val="22"/>
          <w:szCs w:val="22"/>
        </w:rPr>
      </w:pPr>
      <w:r/>
      <w:hyperlink w:tooltip="#_Toc124499108" w:anchor="_Toc124499108" w:history="1">
        <w:r>
          <w:rPr>
            <w:rStyle w:val="1111"/>
            <w:b/>
          </w:rPr>
          <w:t xml:space="preserve">7.2.</w:t>
        </w:r>
        <w:r>
          <w:rPr>
            <w:b/>
            <w:sz w:val="22"/>
            <w:szCs w:val="22"/>
          </w:rPr>
          <w:tab/>
        </w:r>
        <w:r>
          <w:rPr>
            <w:rStyle w:val="1111"/>
            <w:b/>
          </w:rPr>
          <w:t xml:space="preserve">Склады лаков, красок и химических реактивов</w:t>
        </w:r>
        <w:r>
          <w:rPr>
            <w:b/>
          </w:rPr>
          <w:tab/>
        </w:r>
        <w:r>
          <w:rPr>
            <w:b/>
          </w:rPr>
          <w:fldChar w:fldCharType="begin"/>
        </w:r>
        <w:r>
          <w:rPr>
            <w:b/>
          </w:rPr>
          <w:instrText xml:space="preserve"> PAGEREF _Toc124499108 \h </w:instrText>
        </w:r>
        <w:r>
          <w:rPr>
            <w:b/>
          </w:rPr>
        </w:r>
        <w:r>
          <w:rPr>
            <w:b/>
          </w:rPr>
          <w:fldChar w:fldCharType="separate"/>
        </w:r>
        <w:r>
          <w:rPr>
            <w:b/>
          </w:rPr>
          <w:t xml:space="preserve">47</w:t>
        </w:r>
        <w:r>
          <w:rPr>
            <w:b/>
          </w:rPr>
          <w:fldChar w:fldCharType="end"/>
        </w:r>
      </w:hyperlink>
      <w:r/>
      <w:r>
        <w:rPr>
          <w:b/>
          <w:sz w:val="22"/>
          <w:szCs w:val="22"/>
        </w:rPr>
      </w:r>
    </w:p>
    <w:p>
      <w:pPr>
        <w:pStyle w:val="1119"/>
        <w:ind w:right="140"/>
        <w:jc w:val="both"/>
        <w:spacing w:after="0"/>
        <w:rPr>
          <w:b/>
          <w:sz w:val="22"/>
          <w:szCs w:val="22"/>
        </w:rPr>
      </w:pPr>
      <w:r/>
      <w:hyperlink w:tooltip="#_Toc124499109" w:anchor="_Toc124499109" w:history="1">
        <w:r>
          <w:rPr>
            <w:rStyle w:val="1111"/>
            <w:b/>
          </w:rPr>
          <w:t xml:space="preserve">7.3.</w:t>
        </w:r>
        <w:r>
          <w:rPr>
            <w:b/>
            <w:sz w:val="22"/>
            <w:szCs w:val="22"/>
          </w:rPr>
          <w:tab/>
        </w:r>
        <w:r>
          <w:rPr>
            <w:rStyle w:val="1111"/>
            <w:b/>
          </w:rPr>
          <w:t xml:space="preserve">Склады баллонов с газами</w:t>
        </w:r>
        <w:r>
          <w:rPr>
            <w:b/>
          </w:rPr>
          <w:tab/>
        </w:r>
        <w:r>
          <w:rPr>
            <w:b/>
          </w:rPr>
          <w:fldChar w:fldCharType="begin"/>
        </w:r>
        <w:r>
          <w:rPr>
            <w:b/>
          </w:rPr>
          <w:instrText xml:space="preserve"> PAGEREF _Toc124499109 \h </w:instrText>
        </w:r>
        <w:r>
          <w:rPr>
            <w:b/>
          </w:rPr>
        </w:r>
        <w:r>
          <w:rPr>
            <w:b/>
          </w:rPr>
          <w:fldChar w:fldCharType="separate"/>
        </w:r>
        <w:r>
          <w:rPr>
            <w:b/>
          </w:rPr>
          <w:t xml:space="preserve">48</w:t>
        </w:r>
        <w:r>
          <w:rPr>
            <w:b/>
          </w:rPr>
          <w:fldChar w:fldCharType="end"/>
        </w:r>
      </w:hyperlink>
      <w:r/>
      <w:r>
        <w:rPr>
          <w:b/>
          <w:sz w:val="22"/>
          <w:szCs w:val="22"/>
        </w:rPr>
      </w:r>
    </w:p>
    <w:p>
      <w:pPr>
        <w:pStyle w:val="1118"/>
        <w:rPr>
          <w:b/>
          <w:bCs/>
          <w:sz w:val="22"/>
          <w:szCs w:val="22"/>
        </w:rPr>
      </w:pPr>
      <w:r/>
      <w:hyperlink w:tooltip="#_Toc124499110" w:anchor="_Toc124499110" w:history="1">
        <w:r>
          <w:rPr>
            <w:rStyle w:val="1111"/>
            <w:b/>
          </w:rPr>
          <w:t xml:space="preserve">8.</w:t>
        </w:r>
        <w:r>
          <w:rPr>
            <w:b/>
            <w:bCs/>
            <w:sz w:val="22"/>
            <w:szCs w:val="22"/>
          </w:rPr>
          <w:tab/>
        </w:r>
        <w:r>
          <w:rPr>
            <w:rStyle w:val="1111"/>
            <w:b/>
          </w:rPr>
          <w:t xml:space="preserve">Автотранспортное хозяйст</w:t>
        </w:r>
        <w:bookmarkStart w:id="1" w:name="_Hlt184988420"/>
        <w:bookmarkStart w:id="2" w:name="_Hlt184988421"/>
        <w:r>
          <w:rPr>
            <w:rStyle w:val="1111"/>
            <w:b/>
          </w:rPr>
          <w:t xml:space="preserve">в</w:t>
        </w:r>
        <w:bookmarkEnd w:id="1"/>
        <w:bookmarkEnd w:id="2"/>
        <w:r>
          <w:rPr>
            <w:rStyle w:val="1111"/>
            <w:b/>
          </w:rPr>
          <w:t xml:space="preserve">о</w:t>
        </w:r>
        <w:r>
          <w:rPr>
            <w:b/>
          </w:rPr>
          <w:tab/>
        </w:r>
        <w:r>
          <w:rPr>
            <w:b/>
          </w:rPr>
          <w:fldChar w:fldCharType="begin"/>
        </w:r>
        <w:r>
          <w:rPr>
            <w:b/>
          </w:rPr>
          <w:instrText xml:space="preserve"> PAGEREF _Toc124499110 \h </w:instrText>
        </w:r>
        <w:r>
          <w:rPr>
            <w:b/>
          </w:rPr>
        </w:r>
        <w:r>
          <w:rPr>
            <w:b/>
          </w:rPr>
          <w:fldChar w:fldCharType="separate"/>
        </w:r>
        <w:r>
          <w:rPr>
            <w:b/>
          </w:rPr>
          <w:t xml:space="preserve">51</w:t>
        </w:r>
        <w:r>
          <w:rPr>
            <w:b/>
          </w:rPr>
          <w:fldChar w:fldCharType="end"/>
        </w:r>
      </w:hyperlink>
      <w:r/>
      <w:r>
        <w:rPr>
          <w:b/>
          <w:bCs/>
          <w:sz w:val="22"/>
          <w:szCs w:val="22"/>
        </w:rPr>
      </w:r>
    </w:p>
    <w:p>
      <w:pPr>
        <w:pStyle w:val="1118"/>
        <w:rPr>
          <w:b/>
          <w:bCs/>
          <w:sz w:val="22"/>
          <w:szCs w:val="22"/>
        </w:rPr>
      </w:pPr>
      <w:r/>
      <w:hyperlink w:tooltip="#_Toc124499111" w:anchor="_Toc124499111" w:history="1">
        <w:r>
          <w:rPr>
            <w:rStyle w:val="1111"/>
            <w:b/>
          </w:rPr>
          <w:t xml:space="preserve">9.</w:t>
        </w:r>
        <w:r>
          <w:rPr>
            <w:b/>
            <w:bCs/>
            <w:sz w:val="22"/>
            <w:szCs w:val="22"/>
          </w:rPr>
          <w:tab/>
        </w:r>
        <w:r>
          <w:rPr>
            <w:rStyle w:val="1111"/>
            <w:b/>
          </w:rPr>
          <w:t xml:space="preserve">Котельное хозяйство</w:t>
        </w:r>
        <w:r>
          <w:rPr>
            <w:b/>
          </w:rPr>
          <w:tab/>
        </w:r>
        <w:r>
          <w:rPr>
            <w:b/>
          </w:rPr>
          <w:fldChar w:fldCharType="begin"/>
        </w:r>
        <w:r>
          <w:rPr>
            <w:b/>
          </w:rPr>
          <w:instrText xml:space="preserve"> PAGEREF _Toc124499111 \h </w:instrText>
        </w:r>
        <w:r>
          <w:rPr>
            <w:b/>
          </w:rPr>
        </w:r>
        <w:r>
          <w:rPr>
            <w:b/>
          </w:rPr>
          <w:fldChar w:fldCharType="separate"/>
        </w:r>
        <w:r>
          <w:rPr>
            <w:b/>
          </w:rPr>
          <w:t xml:space="preserve">53</w:t>
        </w:r>
        <w:r>
          <w:rPr>
            <w:b/>
          </w:rPr>
          <w:fldChar w:fldCharType="end"/>
        </w:r>
      </w:hyperlink>
      <w:r/>
      <w:r>
        <w:rPr>
          <w:b/>
          <w:bCs/>
          <w:sz w:val="22"/>
          <w:szCs w:val="22"/>
        </w:rPr>
      </w:r>
    </w:p>
    <w:p>
      <w:pPr>
        <w:pStyle w:val="1118"/>
        <w:rPr>
          <w:b/>
          <w:bCs/>
          <w:sz w:val="22"/>
          <w:szCs w:val="22"/>
        </w:rPr>
      </w:pPr>
      <w:r/>
      <w:hyperlink w:tooltip="#_Toc124499112" w:anchor="_Toc124499112" w:history="1">
        <w:r>
          <w:rPr>
            <w:rStyle w:val="1111"/>
            <w:b/>
          </w:rPr>
          <w:t xml:space="preserve">10.</w:t>
        </w:r>
        <w:r>
          <w:rPr>
            <w:b/>
            <w:bCs/>
            <w:sz w:val="22"/>
            <w:szCs w:val="22"/>
          </w:rPr>
          <w:tab/>
        </w:r>
        <w:r>
          <w:rPr>
            <w:rStyle w:val="1111"/>
            <w:b/>
          </w:rPr>
          <w:t xml:space="preserve">Газовое хозяйство</w:t>
        </w:r>
        <w:r>
          <w:rPr>
            <w:b/>
          </w:rPr>
          <w:tab/>
        </w:r>
        <w:r>
          <w:rPr>
            <w:b/>
          </w:rPr>
          <w:fldChar w:fldCharType="begin"/>
        </w:r>
        <w:r>
          <w:rPr>
            <w:b/>
          </w:rPr>
          <w:instrText xml:space="preserve"> PAGEREF _Toc124499112 \h </w:instrText>
        </w:r>
        <w:r>
          <w:rPr>
            <w:b/>
          </w:rPr>
        </w:r>
        <w:r>
          <w:rPr>
            <w:b/>
          </w:rPr>
          <w:fldChar w:fldCharType="separate"/>
        </w:r>
        <w:r>
          <w:rPr>
            <w:b/>
          </w:rPr>
          <w:t xml:space="preserve">56</w:t>
        </w:r>
        <w:r>
          <w:rPr>
            <w:b/>
          </w:rPr>
          <w:fldChar w:fldCharType="end"/>
        </w:r>
      </w:hyperlink>
      <w:r/>
      <w:r>
        <w:rPr>
          <w:b/>
          <w:bCs/>
          <w:sz w:val="22"/>
          <w:szCs w:val="22"/>
        </w:rPr>
      </w:r>
    </w:p>
    <w:p>
      <w:pPr>
        <w:pStyle w:val="1118"/>
        <w:rPr>
          <w:b/>
          <w:bCs/>
          <w:sz w:val="22"/>
          <w:szCs w:val="22"/>
        </w:rPr>
      </w:pPr>
      <w:r/>
      <w:hyperlink w:tooltip="#_Toc124499113" w:anchor="_Toc124499113" w:history="1">
        <w:r>
          <w:rPr>
            <w:rStyle w:val="1111"/>
            <w:b/>
          </w:rPr>
          <w:t xml:space="preserve">11.</w:t>
        </w:r>
        <w:r>
          <w:rPr>
            <w:b/>
            <w:bCs/>
            <w:sz w:val="22"/>
            <w:szCs w:val="22"/>
          </w:rPr>
          <w:tab/>
        </w:r>
        <w:r>
          <w:rPr>
            <w:rStyle w:val="1111"/>
            <w:b/>
          </w:rPr>
          <w:t xml:space="preserve">Газотурбинные энергетические установки</w:t>
        </w:r>
        <w:r>
          <w:rPr>
            <w:b/>
          </w:rPr>
          <w:tab/>
        </w:r>
        <w:r>
          <w:rPr>
            <w:b/>
          </w:rPr>
          <w:fldChar w:fldCharType="begin"/>
        </w:r>
        <w:r>
          <w:rPr>
            <w:b/>
          </w:rPr>
          <w:instrText xml:space="preserve"> PAGEREF _Toc124499113 \h </w:instrText>
        </w:r>
        <w:r>
          <w:rPr>
            <w:b/>
          </w:rPr>
        </w:r>
        <w:r>
          <w:rPr>
            <w:b/>
          </w:rPr>
          <w:fldChar w:fldCharType="separate"/>
        </w:r>
        <w:r>
          <w:rPr>
            <w:b/>
          </w:rPr>
          <w:t xml:space="preserve">58</w:t>
        </w:r>
        <w:r>
          <w:rPr>
            <w:b/>
          </w:rPr>
          <w:fldChar w:fldCharType="end"/>
        </w:r>
      </w:hyperlink>
      <w:r/>
      <w:r>
        <w:rPr>
          <w:b/>
          <w:bCs/>
          <w:sz w:val="22"/>
          <w:szCs w:val="22"/>
        </w:rPr>
      </w:r>
    </w:p>
    <w:p>
      <w:pPr>
        <w:pStyle w:val="1118"/>
        <w:rPr>
          <w:b/>
          <w:bCs/>
          <w:sz w:val="22"/>
          <w:szCs w:val="22"/>
        </w:rPr>
      </w:pPr>
      <w:r/>
      <w:hyperlink w:tooltip="#_Toc124499114" w:anchor="_Toc124499114" w:history="1">
        <w:r>
          <w:rPr>
            <w:rStyle w:val="1111"/>
            <w:b/>
          </w:rPr>
          <w:t xml:space="preserve">12.</w:t>
        </w:r>
        <w:r>
          <w:rPr>
            <w:b/>
            <w:bCs/>
            <w:sz w:val="22"/>
            <w:szCs w:val="22"/>
          </w:rPr>
          <w:tab/>
        </w:r>
        <w:r>
          <w:rPr>
            <w:rStyle w:val="1111"/>
            <w:b/>
          </w:rPr>
          <w:t xml:space="preserve">Требования пожарной безопасности к системам отопления, вентиляции, кондиционирования, серверным помещениям</w:t>
        </w:r>
        <w:r>
          <w:rPr>
            <w:b/>
          </w:rPr>
          <w:tab/>
        </w:r>
        <w:r>
          <w:rPr>
            <w:b/>
          </w:rPr>
          <w:fldChar w:fldCharType="begin"/>
        </w:r>
        <w:r>
          <w:rPr>
            <w:b/>
          </w:rPr>
          <w:instrText xml:space="preserve"> PAGEREF _Toc124499114 \h </w:instrText>
        </w:r>
        <w:r>
          <w:rPr>
            <w:b/>
          </w:rPr>
        </w:r>
        <w:r>
          <w:rPr>
            <w:b/>
          </w:rPr>
          <w:fldChar w:fldCharType="separate"/>
        </w:r>
        <w:r>
          <w:rPr>
            <w:b/>
          </w:rPr>
          <w:t xml:space="preserve">60</w:t>
        </w:r>
        <w:r>
          <w:rPr>
            <w:b/>
          </w:rPr>
          <w:fldChar w:fldCharType="end"/>
        </w:r>
      </w:hyperlink>
      <w:r/>
      <w:r>
        <w:rPr>
          <w:b/>
          <w:bCs/>
          <w:sz w:val="22"/>
          <w:szCs w:val="22"/>
        </w:rPr>
      </w:r>
    </w:p>
    <w:p>
      <w:pPr>
        <w:pStyle w:val="1119"/>
        <w:ind w:right="140"/>
        <w:jc w:val="both"/>
        <w:spacing w:after="0"/>
        <w:rPr>
          <w:b/>
          <w:sz w:val="22"/>
          <w:szCs w:val="22"/>
        </w:rPr>
      </w:pPr>
      <w:r/>
      <w:hyperlink w:tooltip="#_Toc124499115" w:anchor="_Toc124499115" w:history="1">
        <w:r>
          <w:rPr>
            <w:rStyle w:val="1111"/>
            <w:b/>
            <w:bCs/>
          </w:rPr>
          <w:t xml:space="preserve">12.1.</w:t>
        </w:r>
        <w:r>
          <w:rPr>
            <w:b/>
            <w:sz w:val="22"/>
            <w:szCs w:val="22"/>
          </w:rPr>
          <w:tab/>
        </w:r>
        <w:r>
          <w:rPr>
            <w:rStyle w:val="1111"/>
            <w:b/>
            <w:bCs/>
          </w:rPr>
          <w:t xml:space="preserve">Пожарная безопасность систем отопления</w:t>
        </w:r>
        <w:r>
          <w:rPr>
            <w:b/>
          </w:rPr>
          <w:tab/>
        </w:r>
        <w:r>
          <w:rPr>
            <w:b/>
          </w:rPr>
          <w:fldChar w:fldCharType="begin"/>
        </w:r>
        <w:r>
          <w:rPr>
            <w:b/>
          </w:rPr>
          <w:instrText xml:space="preserve"> PAGEREF _Toc124499115 \h </w:instrText>
        </w:r>
        <w:r>
          <w:rPr>
            <w:b/>
          </w:rPr>
        </w:r>
        <w:r>
          <w:rPr>
            <w:b/>
          </w:rPr>
          <w:fldChar w:fldCharType="separate"/>
        </w:r>
        <w:r>
          <w:rPr>
            <w:b/>
          </w:rPr>
          <w:t xml:space="preserve">60</w:t>
        </w:r>
        <w:r>
          <w:rPr>
            <w:b/>
          </w:rPr>
          <w:fldChar w:fldCharType="end"/>
        </w:r>
      </w:hyperlink>
      <w:r/>
      <w:r>
        <w:rPr>
          <w:b/>
          <w:sz w:val="22"/>
          <w:szCs w:val="22"/>
        </w:rPr>
      </w:r>
    </w:p>
    <w:p>
      <w:pPr>
        <w:pStyle w:val="1119"/>
        <w:ind w:right="140"/>
        <w:jc w:val="both"/>
        <w:spacing w:after="0"/>
        <w:rPr>
          <w:b/>
          <w:sz w:val="22"/>
          <w:szCs w:val="22"/>
        </w:rPr>
      </w:pPr>
      <w:r/>
      <w:hyperlink w:tooltip="#_Toc124499116" w:anchor="_Toc124499116" w:history="1">
        <w:r>
          <w:rPr>
            <w:rStyle w:val="1111"/>
            <w:b/>
          </w:rPr>
          <w:t xml:space="preserve">12.2.</w:t>
        </w:r>
        <w:r>
          <w:rPr>
            <w:b/>
            <w:sz w:val="22"/>
            <w:szCs w:val="22"/>
          </w:rPr>
          <w:tab/>
        </w:r>
        <w:r>
          <w:rPr>
            <w:rStyle w:val="1111"/>
            <w:b/>
            <w:bCs/>
          </w:rPr>
          <w:t xml:space="preserve">Пожарная безопасность систем вентиляции и кондиционирования</w:t>
        </w:r>
        <w:r>
          <w:rPr>
            <w:b/>
          </w:rPr>
          <w:tab/>
        </w:r>
        <w:r>
          <w:rPr>
            <w:b/>
          </w:rPr>
          <w:fldChar w:fldCharType="begin"/>
        </w:r>
        <w:r>
          <w:rPr>
            <w:b/>
          </w:rPr>
          <w:instrText xml:space="preserve"> PAGEREF _Toc124499116 \h </w:instrText>
        </w:r>
        <w:r>
          <w:rPr>
            <w:b/>
          </w:rPr>
        </w:r>
        <w:r>
          <w:rPr>
            <w:b/>
          </w:rPr>
          <w:fldChar w:fldCharType="separate"/>
        </w:r>
        <w:r>
          <w:rPr>
            <w:b/>
          </w:rPr>
          <w:t xml:space="preserve">61</w:t>
        </w:r>
        <w:r>
          <w:rPr>
            <w:b/>
          </w:rPr>
          <w:fldChar w:fldCharType="end"/>
        </w:r>
      </w:hyperlink>
      <w:r/>
      <w:r>
        <w:rPr>
          <w:b/>
          <w:sz w:val="22"/>
          <w:szCs w:val="22"/>
        </w:rPr>
      </w:r>
    </w:p>
    <w:p>
      <w:pPr>
        <w:pStyle w:val="1119"/>
        <w:ind w:right="140"/>
        <w:jc w:val="both"/>
        <w:spacing w:after="0"/>
        <w:rPr>
          <w:b/>
          <w:sz w:val="22"/>
          <w:szCs w:val="22"/>
        </w:rPr>
      </w:pPr>
      <w:r/>
      <w:hyperlink w:tooltip="#_Toc124499117" w:anchor="_Toc124499117" w:history="1">
        <w:r>
          <w:rPr>
            <w:rStyle w:val="1111"/>
            <w:b/>
          </w:rPr>
          <w:t xml:space="preserve">12.3.</w:t>
        </w:r>
        <w:r>
          <w:rPr>
            <w:b/>
            <w:sz w:val="22"/>
            <w:szCs w:val="22"/>
          </w:rPr>
          <w:tab/>
        </w:r>
        <w:r>
          <w:rPr>
            <w:rStyle w:val="1111"/>
            <w:b/>
          </w:rPr>
          <w:t xml:space="preserve">Пожарная безопасность серверных помещений</w:t>
        </w:r>
        <w:r>
          <w:rPr>
            <w:b/>
          </w:rPr>
          <w:tab/>
        </w:r>
        <w:r>
          <w:rPr>
            <w:b/>
          </w:rPr>
          <w:fldChar w:fldCharType="begin"/>
        </w:r>
        <w:r>
          <w:rPr>
            <w:b/>
          </w:rPr>
          <w:instrText xml:space="preserve"> PAGEREF _Toc124499117 \h </w:instrText>
        </w:r>
        <w:r>
          <w:rPr>
            <w:b/>
          </w:rPr>
        </w:r>
        <w:r>
          <w:rPr>
            <w:b/>
          </w:rPr>
          <w:fldChar w:fldCharType="separate"/>
        </w:r>
        <w:r>
          <w:rPr>
            <w:b/>
          </w:rPr>
          <w:t xml:space="preserve">62</w:t>
        </w:r>
        <w:r>
          <w:rPr>
            <w:b/>
          </w:rPr>
          <w:fldChar w:fldCharType="end"/>
        </w:r>
      </w:hyperlink>
      <w:r/>
      <w:r>
        <w:rPr>
          <w:b/>
          <w:sz w:val="22"/>
          <w:szCs w:val="22"/>
        </w:rPr>
      </w:r>
    </w:p>
    <w:p>
      <w:pPr>
        <w:pStyle w:val="1118"/>
        <w:rPr>
          <w:b/>
          <w:bCs/>
          <w:sz w:val="22"/>
          <w:szCs w:val="22"/>
        </w:rPr>
      </w:pPr>
      <w:r/>
      <w:hyperlink w:tooltip="#_Toc124499118" w:anchor="_Toc124499118" w:history="1">
        <w:r>
          <w:rPr>
            <w:rStyle w:val="1111"/>
            <w:b/>
          </w:rPr>
          <w:t xml:space="preserve">13.</w:t>
        </w:r>
        <w:r>
          <w:rPr>
            <w:b/>
            <w:bCs/>
            <w:sz w:val="22"/>
            <w:szCs w:val="22"/>
          </w:rPr>
          <w:tab/>
        </w:r>
        <w:r>
          <w:rPr>
            <w:rStyle w:val="1111"/>
            <w:b/>
          </w:rPr>
          <w:t xml:space="preserve">Требования пожарной безопасности при проведении строительно-монтажных работ</w:t>
        </w:r>
        <w:r>
          <w:rPr>
            <w:b/>
          </w:rPr>
          <w:tab/>
        </w:r>
        <w:r>
          <w:rPr>
            <w:b/>
          </w:rPr>
          <w:fldChar w:fldCharType="begin"/>
        </w:r>
        <w:r>
          <w:rPr>
            <w:b/>
          </w:rPr>
          <w:instrText xml:space="preserve"> PAGEREF _Toc124499118 \h </w:instrText>
        </w:r>
        <w:r>
          <w:rPr>
            <w:b/>
          </w:rPr>
        </w:r>
        <w:r>
          <w:rPr>
            <w:b/>
          </w:rPr>
          <w:fldChar w:fldCharType="separate"/>
        </w:r>
        <w:r>
          <w:rPr>
            <w:b/>
          </w:rPr>
          <w:t xml:space="preserve">63</w:t>
        </w:r>
        <w:r>
          <w:rPr>
            <w:b/>
          </w:rPr>
          <w:fldChar w:fldCharType="end"/>
        </w:r>
      </w:hyperlink>
      <w:r/>
      <w:r>
        <w:rPr>
          <w:b/>
          <w:bCs/>
          <w:sz w:val="22"/>
          <w:szCs w:val="22"/>
        </w:rPr>
      </w:r>
    </w:p>
    <w:p>
      <w:pPr>
        <w:pStyle w:val="1119"/>
        <w:ind w:right="140"/>
        <w:jc w:val="both"/>
        <w:spacing w:after="0"/>
        <w:rPr>
          <w:b/>
          <w:sz w:val="22"/>
          <w:szCs w:val="22"/>
        </w:rPr>
      </w:pPr>
      <w:r/>
      <w:hyperlink w:tooltip="#_Toc124499119" w:anchor="_Toc124499119" w:history="1">
        <w:r>
          <w:rPr>
            <w:rStyle w:val="1111"/>
            <w:b/>
          </w:rPr>
          <w:t xml:space="preserve">13.1.</w:t>
        </w:r>
        <w:r>
          <w:rPr>
            <w:b/>
            <w:sz w:val="22"/>
            <w:szCs w:val="22"/>
          </w:rPr>
          <w:tab/>
        </w:r>
        <w:r>
          <w:rPr>
            <w:rStyle w:val="1111"/>
            <w:b/>
          </w:rPr>
          <w:t xml:space="preserve">Пожарная безопасность при ремонте и реконструкции оборудования, зданий и сооружений</w:t>
        </w:r>
        <w:r>
          <w:rPr>
            <w:b/>
          </w:rPr>
          <w:tab/>
        </w:r>
        <w:r>
          <w:rPr>
            <w:b/>
          </w:rPr>
          <w:fldChar w:fldCharType="begin"/>
        </w:r>
        <w:r>
          <w:rPr>
            <w:b/>
          </w:rPr>
          <w:instrText xml:space="preserve"> PAGEREF _Toc124499119 \h </w:instrText>
        </w:r>
        <w:r>
          <w:rPr>
            <w:b/>
          </w:rPr>
        </w:r>
        <w:r>
          <w:rPr>
            <w:b/>
          </w:rPr>
          <w:fldChar w:fldCharType="separate"/>
        </w:r>
        <w:r>
          <w:rPr>
            <w:b/>
          </w:rPr>
          <w:t xml:space="preserve">63</w:t>
        </w:r>
        <w:r>
          <w:rPr>
            <w:b/>
          </w:rPr>
          <w:fldChar w:fldCharType="end"/>
        </w:r>
      </w:hyperlink>
      <w:r/>
      <w:r>
        <w:rPr>
          <w:b/>
          <w:sz w:val="22"/>
          <w:szCs w:val="22"/>
        </w:rPr>
      </w:r>
    </w:p>
    <w:p>
      <w:pPr>
        <w:pStyle w:val="1119"/>
        <w:ind w:right="140"/>
        <w:jc w:val="both"/>
        <w:spacing w:after="0"/>
        <w:rPr>
          <w:b/>
          <w:sz w:val="22"/>
          <w:szCs w:val="22"/>
        </w:rPr>
      </w:pPr>
      <w:r/>
      <w:hyperlink w:tooltip="#_Toc124499120" w:anchor="_Toc124499120" w:history="1">
        <w:r>
          <w:rPr>
            <w:rStyle w:val="1111"/>
            <w:b/>
          </w:rPr>
          <w:t xml:space="preserve">13.2.</w:t>
        </w:r>
        <w:r>
          <w:rPr>
            <w:b/>
            <w:sz w:val="22"/>
            <w:szCs w:val="22"/>
          </w:rPr>
          <w:tab/>
        </w:r>
        <w:r>
          <w:rPr>
            <w:rStyle w:val="1111"/>
            <w:b/>
          </w:rPr>
          <w:t xml:space="preserve">Требования пожарной безопасности при проведении сварочных и других огневых работ</w:t>
        </w:r>
        <w:r>
          <w:rPr>
            <w:b/>
          </w:rPr>
          <w:tab/>
        </w:r>
        <w:r>
          <w:rPr>
            <w:b/>
          </w:rPr>
          <w:fldChar w:fldCharType="begin"/>
        </w:r>
        <w:r>
          <w:rPr>
            <w:b/>
          </w:rPr>
          <w:instrText xml:space="preserve"> PAGEREF _Toc124499120 \h </w:instrText>
        </w:r>
        <w:r>
          <w:rPr>
            <w:b/>
          </w:rPr>
        </w:r>
        <w:r>
          <w:rPr>
            <w:b/>
          </w:rPr>
          <w:fldChar w:fldCharType="separate"/>
        </w:r>
        <w:r>
          <w:rPr>
            <w:b/>
          </w:rPr>
          <w:t xml:space="preserve">66</w:t>
        </w:r>
        <w:r>
          <w:rPr>
            <w:b/>
          </w:rPr>
          <w:fldChar w:fldCharType="end"/>
        </w:r>
      </w:hyperlink>
      <w:r/>
      <w:r>
        <w:rPr>
          <w:b/>
          <w:sz w:val="22"/>
          <w:szCs w:val="22"/>
        </w:rPr>
      </w:r>
    </w:p>
    <w:p>
      <w:pPr>
        <w:pStyle w:val="1118"/>
        <w:rPr>
          <w:b/>
          <w:bCs/>
          <w:sz w:val="22"/>
          <w:szCs w:val="22"/>
        </w:rPr>
      </w:pPr>
      <w:r/>
      <w:hyperlink w:tooltip="#_Toc124499121" w:anchor="_Toc124499121" w:history="1">
        <w:r>
          <w:rPr>
            <w:rStyle w:val="1111"/>
            <w:b/>
          </w:rPr>
          <w:t xml:space="preserve">14.</w:t>
        </w:r>
        <w:r>
          <w:rPr>
            <w:b/>
            <w:bCs/>
            <w:sz w:val="22"/>
            <w:szCs w:val="22"/>
          </w:rPr>
          <w:tab/>
        </w:r>
        <w:r>
          <w:rPr>
            <w:rStyle w:val="1111"/>
            <w:b/>
          </w:rPr>
          <w:t xml:space="preserve">Первичные средства пожаротушения, противопожарное водоснабжение</w:t>
        </w:r>
        <w:r>
          <w:rPr>
            <w:b/>
          </w:rPr>
          <w:tab/>
        </w:r>
        <w:r>
          <w:rPr>
            <w:b/>
          </w:rPr>
          <w:fldChar w:fldCharType="begin"/>
        </w:r>
        <w:r>
          <w:rPr>
            <w:b/>
          </w:rPr>
          <w:instrText xml:space="preserve"> PAGEREF _Toc124499121 \h </w:instrText>
        </w:r>
        <w:r>
          <w:rPr>
            <w:b/>
          </w:rPr>
        </w:r>
        <w:r>
          <w:rPr>
            <w:b/>
          </w:rPr>
          <w:fldChar w:fldCharType="separate"/>
        </w:r>
        <w:r>
          <w:rPr>
            <w:b/>
          </w:rPr>
          <w:t xml:space="preserve">69</w:t>
        </w:r>
        <w:r>
          <w:rPr>
            <w:b/>
          </w:rPr>
          <w:fldChar w:fldCharType="end"/>
        </w:r>
      </w:hyperlink>
      <w:r/>
      <w:r>
        <w:rPr>
          <w:b/>
          <w:bCs/>
          <w:sz w:val="22"/>
          <w:szCs w:val="22"/>
        </w:rPr>
      </w:r>
    </w:p>
    <w:p>
      <w:pPr>
        <w:pStyle w:val="1119"/>
        <w:ind w:right="140"/>
        <w:jc w:val="both"/>
        <w:spacing w:after="0"/>
        <w:rPr>
          <w:b/>
          <w:sz w:val="22"/>
          <w:szCs w:val="22"/>
        </w:rPr>
      </w:pPr>
      <w:r/>
      <w:hyperlink w:tooltip="#_Toc124499122" w:anchor="_Toc124499122" w:history="1">
        <w:r>
          <w:rPr>
            <w:rStyle w:val="1111"/>
            <w:b/>
          </w:rPr>
          <w:t xml:space="preserve">14.1.</w:t>
        </w:r>
        <w:r>
          <w:rPr>
            <w:b/>
            <w:sz w:val="22"/>
            <w:szCs w:val="22"/>
          </w:rPr>
          <w:tab/>
        </w:r>
        <w:r>
          <w:rPr>
            <w:rStyle w:val="1111"/>
            <w:b/>
          </w:rPr>
          <w:t xml:space="preserve">Общие требования к первичным средствам пожаротушения</w:t>
        </w:r>
        <w:r>
          <w:rPr>
            <w:b/>
          </w:rPr>
          <w:tab/>
        </w:r>
        <w:r>
          <w:rPr>
            <w:b/>
          </w:rPr>
          <w:fldChar w:fldCharType="begin"/>
        </w:r>
        <w:r>
          <w:rPr>
            <w:b/>
          </w:rPr>
          <w:instrText xml:space="preserve"> PAGEREF _Toc124499122 \h </w:instrText>
        </w:r>
        <w:r>
          <w:rPr>
            <w:b/>
          </w:rPr>
        </w:r>
        <w:r>
          <w:rPr>
            <w:b/>
          </w:rPr>
          <w:fldChar w:fldCharType="separate"/>
        </w:r>
        <w:r>
          <w:rPr>
            <w:b/>
          </w:rPr>
          <w:t xml:space="preserve">69</w:t>
        </w:r>
        <w:r>
          <w:rPr>
            <w:b/>
          </w:rPr>
          <w:fldChar w:fldCharType="end"/>
        </w:r>
      </w:hyperlink>
      <w:r/>
      <w:r>
        <w:rPr>
          <w:b/>
          <w:sz w:val="22"/>
          <w:szCs w:val="22"/>
        </w:rPr>
      </w:r>
    </w:p>
    <w:p>
      <w:pPr>
        <w:pStyle w:val="1119"/>
        <w:ind w:right="140"/>
        <w:jc w:val="both"/>
        <w:spacing w:after="0"/>
        <w:rPr>
          <w:b/>
          <w:sz w:val="22"/>
          <w:szCs w:val="22"/>
        </w:rPr>
      </w:pPr>
      <w:r/>
      <w:hyperlink w:tooltip="#_Toc124499123" w:anchor="_Toc124499123" w:history="1">
        <w:r>
          <w:rPr>
            <w:rStyle w:val="1111"/>
            <w:b/>
          </w:rPr>
          <w:t xml:space="preserve">14.2.</w:t>
        </w:r>
        <w:r>
          <w:rPr>
            <w:b/>
            <w:sz w:val="22"/>
            <w:szCs w:val="22"/>
          </w:rPr>
          <w:tab/>
        </w:r>
        <w:r>
          <w:rPr>
            <w:rStyle w:val="1111"/>
            <w:b/>
          </w:rPr>
          <w:t xml:space="preserve">Общие требования к противопожарн</w:t>
        </w:r>
        <w:bookmarkStart w:id="3" w:name="_Hlt188531280"/>
        <w:r>
          <w:rPr>
            <w:rStyle w:val="1111"/>
            <w:b/>
          </w:rPr>
          <w:t xml:space="preserve">о</w:t>
        </w:r>
        <w:bookmarkEnd w:id="3"/>
        <w:r>
          <w:rPr>
            <w:rStyle w:val="1111"/>
            <w:b/>
          </w:rPr>
          <w:t xml:space="preserve">му водоснабжению</w:t>
        </w:r>
        <w:r>
          <w:rPr>
            <w:b/>
          </w:rPr>
          <w:tab/>
        </w:r>
        <w:r>
          <w:rPr>
            <w:b/>
          </w:rPr>
          <w:fldChar w:fldCharType="begin"/>
        </w:r>
        <w:r>
          <w:rPr>
            <w:b/>
          </w:rPr>
          <w:instrText xml:space="preserve"> PAGEREF _Toc124499123 \h </w:instrText>
        </w:r>
        <w:r>
          <w:rPr>
            <w:b/>
          </w:rPr>
        </w:r>
        <w:r>
          <w:rPr>
            <w:b/>
          </w:rPr>
          <w:fldChar w:fldCharType="separate"/>
        </w:r>
        <w:r>
          <w:rPr>
            <w:b/>
          </w:rPr>
          <w:t xml:space="preserve">73</w:t>
        </w:r>
        <w:r>
          <w:rPr>
            <w:b/>
          </w:rPr>
          <w:fldChar w:fldCharType="end"/>
        </w:r>
      </w:hyperlink>
      <w:r/>
      <w:r>
        <w:rPr>
          <w:b/>
          <w:sz w:val="22"/>
          <w:szCs w:val="22"/>
        </w:rPr>
      </w:r>
    </w:p>
    <w:p>
      <w:pPr>
        <w:pStyle w:val="1118"/>
        <w:rPr>
          <w:b/>
          <w:bCs/>
          <w:sz w:val="22"/>
          <w:szCs w:val="22"/>
        </w:rPr>
      </w:pPr>
      <w:r/>
      <w:hyperlink w:tooltip="#_Toc124499124" w:anchor="_Toc124499124" w:history="1">
        <w:r>
          <w:rPr>
            <w:rStyle w:val="1111"/>
            <w:b/>
          </w:rPr>
          <w:t xml:space="preserve">15.</w:t>
        </w:r>
        <w:r>
          <w:rPr>
            <w:b/>
            <w:bCs/>
            <w:sz w:val="22"/>
            <w:szCs w:val="22"/>
          </w:rPr>
          <w:tab/>
        </w:r>
        <w:r>
          <w:rPr>
            <w:rStyle w:val="1111"/>
            <w:b/>
          </w:rPr>
          <w:t xml:space="preserve">Установки обнаруже</w:t>
        </w:r>
        <w:bookmarkStart w:id="4" w:name="_Hlt188531438"/>
        <w:r>
          <w:rPr>
            <w:rStyle w:val="1111"/>
            <w:b/>
          </w:rPr>
          <w:t xml:space="preserve">н</w:t>
        </w:r>
        <w:bookmarkEnd w:id="4"/>
        <w:r>
          <w:rPr>
            <w:rStyle w:val="1111"/>
            <w:b/>
          </w:rPr>
          <w:t xml:space="preserve">ия и тушения пожара</w:t>
        </w:r>
        <w:r>
          <w:rPr>
            <w:b/>
          </w:rPr>
          <w:tab/>
        </w:r>
        <w:r>
          <w:rPr>
            <w:b/>
          </w:rPr>
          <w:fldChar w:fldCharType="begin"/>
        </w:r>
        <w:r>
          <w:rPr>
            <w:b/>
          </w:rPr>
          <w:instrText xml:space="preserve"> PAGEREF _Toc124499124 \h </w:instrText>
        </w:r>
        <w:r>
          <w:rPr>
            <w:b/>
          </w:rPr>
        </w:r>
        <w:r>
          <w:rPr>
            <w:b/>
          </w:rPr>
          <w:fldChar w:fldCharType="separate"/>
        </w:r>
        <w:r>
          <w:rPr>
            <w:b/>
          </w:rPr>
          <w:t xml:space="preserve">76</w:t>
        </w:r>
        <w:r>
          <w:rPr>
            <w:b/>
          </w:rPr>
          <w:fldChar w:fldCharType="end"/>
        </w:r>
      </w:hyperlink>
      <w:r/>
      <w:r>
        <w:rPr>
          <w:b/>
          <w:bCs/>
          <w:sz w:val="22"/>
          <w:szCs w:val="22"/>
        </w:rPr>
      </w:r>
    </w:p>
    <w:p>
      <w:pPr>
        <w:pStyle w:val="1118"/>
        <w:rPr>
          <w:b/>
          <w:bCs/>
          <w:sz w:val="22"/>
          <w:szCs w:val="22"/>
        </w:rPr>
      </w:pPr>
      <w:r/>
      <w:hyperlink w:tooltip="#_Toc124499125" w:anchor="_Toc124499125" w:history="1">
        <w:r>
          <w:rPr>
            <w:rStyle w:val="1111"/>
            <w:b/>
          </w:rPr>
          <w:t xml:space="preserve">16.</w:t>
        </w:r>
        <w:r>
          <w:rPr>
            <w:b/>
            <w:bCs/>
            <w:sz w:val="22"/>
            <w:szCs w:val="22"/>
          </w:rPr>
          <w:tab/>
        </w:r>
        <w:r>
          <w:rPr>
            <w:rStyle w:val="1111"/>
            <w:b/>
          </w:rPr>
          <w:t xml:space="preserve">Порядок организации тушения пожаров на оборудовании энергетических объектов</w:t>
        </w:r>
        <w:r>
          <w:rPr>
            <w:b/>
          </w:rPr>
          <w:tab/>
        </w:r>
        <w:r>
          <w:rPr>
            <w:b/>
          </w:rPr>
          <w:fldChar w:fldCharType="begin"/>
        </w:r>
        <w:r>
          <w:rPr>
            <w:b/>
          </w:rPr>
          <w:instrText xml:space="preserve"> PAGEREF _Toc124499125 \h </w:instrText>
        </w:r>
        <w:r>
          <w:rPr>
            <w:b/>
          </w:rPr>
        </w:r>
        <w:r>
          <w:rPr>
            <w:b/>
          </w:rPr>
          <w:fldChar w:fldCharType="separate"/>
        </w:r>
        <w:r>
          <w:rPr>
            <w:b/>
          </w:rPr>
          <w:t xml:space="preserve">78</w:t>
        </w:r>
        <w:r>
          <w:rPr>
            <w:b/>
          </w:rPr>
          <w:fldChar w:fldCharType="end"/>
        </w:r>
      </w:hyperlink>
      <w:r/>
      <w:r>
        <w:rPr>
          <w:b/>
          <w:bCs/>
          <w:sz w:val="22"/>
          <w:szCs w:val="22"/>
        </w:rPr>
      </w:r>
    </w:p>
    <w:p>
      <w:pPr>
        <w:pStyle w:val="1119"/>
        <w:ind w:right="140"/>
        <w:jc w:val="both"/>
        <w:spacing w:after="0"/>
        <w:rPr>
          <w:b/>
          <w:sz w:val="22"/>
          <w:szCs w:val="22"/>
        </w:rPr>
      </w:pPr>
      <w:r/>
      <w:hyperlink w:tooltip="#_Toc124499126" w:anchor="_Toc124499126" w:history="1">
        <w:r>
          <w:rPr>
            <w:rStyle w:val="1111"/>
            <w:b/>
          </w:rPr>
          <w:t xml:space="preserve">16.1.</w:t>
        </w:r>
        <w:r>
          <w:rPr>
            <w:b/>
            <w:sz w:val="22"/>
            <w:szCs w:val="22"/>
          </w:rPr>
          <w:tab/>
        </w:r>
        <w:r>
          <w:rPr>
            <w:rStyle w:val="1111"/>
            <w:b/>
          </w:rPr>
          <w:t xml:space="preserve">Общие положения</w:t>
        </w:r>
        <w:r>
          <w:rPr>
            <w:b/>
          </w:rPr>
          <w:tab/>
        </w:r>
        <w:r>
          <w:rPr>
            <w:b/>
          </w:rPr>
          <w:fldChar w:fldCharType="begin"/>
        </w:r>
        <w:r>
          <w:rPr>
            <w:b/>
          </w:rPr>
          <w:instrText xml:space="preserve"> PAGEREF _Toc124499126 \h </w:instrText>
        </w:r>
        <w:r>
          <w:rPr>
            <w:b/>
          </w:rPr>
        </w:r>
        <w:r>
          <w:rPr>
            <w:b/>
          </w:rPr>
          <w:fldChar w:fldCharType="separate"/>
        </w:r>
        <w:r>
          <w:rPr>
            <w:b/>
          </w:rPr>
          <w:t xml:space="preserve">78</w:t>
        </w:r>
        <w:r>
          <w:rPr>
            <w:b/>
          </w:rPr>
          <w:fldChar w:fldCharType="end"/>
        </w:r>
      </w:hyperlink>
      <w:r/>
      <w:r>
        <w:rPr>
          <w:b/>
          <w:sz w:val="22"/>
          <w:szCs w:val="22"/>
        </w:rPr>
      </w:r>
    </w:p>
    <w:p>
      <w:pPr>
        <w:pStyle w:val="1119"/>
        <w:ind w:right="140"/>
        <w:jc w:val="both"/>
        <w:spacing w:after="0"/>
        <w:rPr>
          <w:b/>
          <w:sz w:val="22"/>
          <w:szCs w:val="22"/>
        </w:rPr>
      </w:pPr>
      <w:r/>
      <w:hyperlink w:tooltip="#_Toc124499127" w:anchor="_Toc124499127" w:history="1">
        <w:r>
          <w:rPr>
            <w:rStyle w:val="1111"/>
            <w:b/>
          </w:rPr>
          <w:t xml:space="preserve">16.2.</w:t>
        </w:r>
        <w:r>
          <w:rPr>
            <w:b/>
            <w:sz w:val="22"/>
            <w:szCs w:val="22"/>
          </w:rPr>
          <w:tab/>
        </w:r>
        <w:r>
          <w:rPr>
            <w:rStyle w:val="1111"/>
            <w:b/>
          </w:rPr>
          <w:t xml:space="preserve">Требования безопасности при выполнении работ по тушению пожара</w:t>
        </w:r>
        <w:r>
          <w:rPr>
            <w:b/>
          </w:rPr>
          <w:tab/>
        </w:r>
        <w:r>
          <w:rPr>
            <w:b/>
          </w:rPr>
          <w:fldChar w:fldCharType="begin"/>
        </w:r>
        <w:r>
          <w:rPr>
            <w:b/>
          </w:rPr>
          <w:instrText xml:space="preserve"> PAGEREF _Toc124499127 \h </w:instrText>
        </w:r>
        <w:r>
          <w:rPr>
            <w:b/>
          </w:rPr>
        </w:r>
        <w:r>
          <w:rPr>
            <w:b/>
          </w:rPr>
          <w:fldChar w:fldCharType="separate"/>
        </w:r>
        <w:r>
          <w:rPr>
            <w:b/>
          </w:rPr>
          <w:t xml:space="preserve">79</w:t>
        </w:r>
        <w:r>
          <w:rPr>
            <w:b/>
          </w:rPr>
          <w:fldChar w:fldCharType="end"/>
        </w:r>
      </w:hyperlink>
      <w:r/>
      <w:r>
        <w:rPr>
          <w:b/>
          <w:sz w:val="22"/>
          <w:szCs w:val="22"/>
        </w:rPr>
      </w:r>
    </w:p>
    <w:p>
      <w:pPr>
        <w:pStyle w:val="1119"/>
        <w:ind w:right="140"/>
        <w:jc w:val="both"/>
        <w:spacing w:after="0"/>
        <w:rPr>
          <w:b/>
          <w:sz w:val="22"/>
          <w:szCs w:val="22"/>
        </w:rPr>
      </w:pPr>
      <w:r/>
      <w:hyperlink w:tooltip="#_Toc124499128" w:anchor="_Toc124499128" w:history="1">
        <w:r>
          <w:rPr>
            <w:rStyle w:val="1111"/>
            <w:b/>
          </w:rPr>
          <w:t xml:space="preserve">16.3.</w:t>
        </w:r>
        <w:r>
          <w:rPr>
            <w:b/>
            <w:sz w:val="22"/>
            <w:szCs w:val="22"/>
          </w:rPr>
          <w:tab/>
        </w:r>
        <w:r>
          <w:rPr>
            <w:rStyle w:val="1111"/>
            <w:b/>
          </w:rPr>
          <w:t xml:space="preserve">Меры безопасности при обесточивании (отключении) электроустановок, находящихся под напряжением при возникновении пожара в жилом секторе</w:t>
        </w:r>
        <w:r>
          <w:rPr>
            <w:b/>
          </w:rPr>
          <w:tab/>
        </w:r>
        <w:r>
          <w:rPr>
            <w:b/>
          </w:rPr>
          <w:fldChar w:fldCharType="begin"/>
        </w:r>
        <w:r>
          <w:rPr>
            <w:b/>
          </w:rPr>
          <w:instrText xml:space="preserve"> PAGEREF _Toc124499128 \h </w:instrText>
        </w:r>
        <w:r>
          <w:rPr>
            <w:b/>
          </w:rPr>
        </w:r>
        <w:r>
          <w:rPr>
            <w:b/>
          </w:rPr>
          <w:fldChar w:fldCharType="separate"/>
        </w:r>
        <w:r>
          <w:rPr>
            <w:b/>
          </w:rPr>
          <w:t xml:space="preserve">81</w:t>
        </w:r>
        <w:r>
          <w:rPr>
            <w:b/>
          </w:rPr>
          <w:fldChar w:fldCharType="end"/>
        </w:r>
      </w:hyperlink>
      <w:r/>
      <w:r>
        <w:rPr>
          <w:b/>
          <w:sz w:val="22"/>
          <w:szCs w:val="22"/>
        </w:rPr>
      </w:r>
    </w:p>
    <w:p>
      <w:pPr>
        <w:pStyle w:val="1119"/>
        <w:ind w:right="140"/>
        <w:jc w:val="both"/>
        <w:spacing w:after="0"/>
        <w:rPr>
          <w:sz w:val="22"/>
          <w:szCs w:val="22"/>
        </w:rPr>
      </w:pPr>
      <w:r/>
      <w:hyperlink w:tooltip="#_Toc124499129" w:anchor="_Toc124499129" w:history="1">
        <w:r>
          <w:rPr>
            <w:rStyle w:val="1111"/>
            <w:b/>
          </w:rPr>
          <w:t xml:space="preserve">16.4.</w:t>
        </w:r>
        <w:r>
          <w:rPr>
            <w:b/>
            <w:sz w:val="22"/>
            <w:szCs w:val="22"/>
          </w:rPr>
          <w:tab/>
        </w:r>
        <w:r>
          <w:rPr>
            <w:rStyle w:val="1111"/>
            <w:b/>
          </w:rPr>
          <w:t xml:space="preserve">Действия </w:t>
        </w:r>
        <w:bookmarkStart w:id="5" w:name="_Hlt188530863"/>
        <w:bookmarkStart w:id="6" w:name="_Hlt191398458"/>
        <w:bookmarkStart w:id="7" w:name="_Hlt191398459"/>
        <w:r>
          <w:rPr>
            <w:rStyle w:val="1111"/>
            <w:b/>
          </w:rPr>
          <w:t xml:space="preserve">п</w:t>
        </w:r>
        <w:bookmarkEnd w:id="5"/>
        <w:bookmarkEnd w:id="6"/>
        <w:bookmarkEnd w:id="7"/>
        <w:r>
          <w:rPr>
            <w:rStyle w:val="1111"/>
            <w:b/>
          </w:rPr>
          <w:t xml:space="preserve">ерсо</w:t>
        </w:r>
        <w:bookmarkStart w:id="8" w:name="_Hlt188346162"/>
        <w:bookmarkStart w:id="9" w:name="_Hlt188346163"/>
        <w:r>
          <w:rPr>
            <w:rStyle w:val="1111"/>
            <w:b/>
          </w:rPr>
          <w:t xml:space="preserve">н</w:t>
        </w:r>
        <w:bookmarkEnd w:id="8"/>
        <w:bookmarkEnd w:id="9"/>
        <w:r>
          <w:rPr>
            <w:rStyle w:val="1111"/>
            <w:b/>
          </w:rPr>
          <w:t xml:space="preserve">а</w:t>
        </w:r>
        <w:bookmarkStart w:id="10" w:name="_Hlt184301814"/>
        <w:r>
          <w:rPr>
            <w:rStyle w:val="1111"/>
            <w:b/>
          </w:rPr>
          <w:t xml:space="preserve">л</w:t>
        </w:r>
        <w:bookmarkEnd w:id="10"/>
        <w:r>
          <w:rPr>
            <w:rStyle w:val="1111"/>
            <w:b/>
          </w:rPr>
          <w:t xml:space="preserve">а при</w:t>
        </w:r>
        <w:bookmarkStart w:id="11" w:name="_Hlt184302097"/>
        <w:r>
          <w:rPr>
            <w:rStyle w:val="1111"/>
            <w:b/>
          </w:rPr>
          <w:t xml:space="preserve"> </w:t>
        </w:r>
        <w:bookmarkEnd w:id="11"/>
        <w:r>
          <w:rPr>
            <w:rStyle w:val="1111"/>
            <w:b/>
          </w:rPr>
          <w:t xml:space="preserve">возникновении пожара или обнаружении призна</w:t>
        </w:r>
        <w:bookmarkStart w:id="12" w:name="_Hlt188530813"/>
        <w:bookmarkStart w:id="13" w:name="_Hlt188530814"/>
        <w:r>
          <w:rPr>
            <w:rStyle w:val="1111"/>
            <w:b/>
          </w:rPr>
          <w:t xml:space="preserve">к</w:t>
        </w:r>
        <w:bookmarkEnd w:id="12"/>
        <w:bookmarkEnd w:id="13"/>
        <w:r>
          <w:rPr>
            <w:rStyle w:val="1111"/>
            <w:b/>
          </w:rPr>
          <w:t xml:space="preserve">ов горения</w:t>
        </w:r>
        <w:r>
          <w:rPr>
            <w:b/>
          </w:rPr>
          <w:tab/>
        </w:r>
        <w:r>
          <w:rPr>
            <w:b/>
          </w:rPr>
          <w:fldChar w:fldCharType="begin"/>
        </w:r>
        <w:r>
          <w:rPr>
            <w:b/>
          </w:rPr>
          <w:instrText xml:space="preserve"> PAGEREF _Toc124499129 \h </w:instrText>
        </w:r>
        <w:r>
          <w:rPr>
            <w:b/>
          </w:rPr>
        </w:r>
        <w:r>
          <w:rPr>
            <w:b/>
          </w:rPr>
          <w:fldChar w:fldCharType="separate"/>
        </w:r>
        <w:r>
          <w:rPr>
            <w:b/>
          </w:rPr>
          <w:t xml:space="preserve">82</w:t>
        </w:r>
        <w:r>
          <w:rPr>
            <w:b/>
          </w:rPr>
          <w:fldChar w:fldCharType="end"/>
        </w:r>
      </w:hyperlink>
      <w:r/>
      <w:r>
        <w:rPr>
          <w:sz w:val="22"/>
          <w:szCs w:val="22"/>
        </w:rPr>
      </w:r>
    </w:p>
    <w:p>
      <w:pPr>
        <w:pStyle w:val="1120"/>
        <w:ind w:right="140"/>
        <w:jc w:val="both"/>
        <w:spacing w:after="0"/>
        <w:rPr>
          <w:sz w:val="22"/>
          <w:szCs w:val="22"/>
        </w:rPr>
      </w:pPr>
      <w:r/>
      <w:hyperlink w:tooltip="#_Toc124499130" w:anchor="_Toc124499130" w:history="1">
        <w:r>
          <w:rPr>
            <w:rStyle w:val="1111"/>
          </w:rPr>
          <w:t xml:space="preserve">Приложение </w:t>
        </w:r>
        <w:bookmarkStart w:id="14" w:name="_Hlt188531141"/>
        <w:r>
          <w:rPr>
            <w:rStyle w:val="1111"/>
          </w:rPr>
          <w:t xml:space="preserve">А</w:t>
        </w:r>
        <w:bookmarkEnd w:id="14"/>
        <w:r>
          <w:tab/>
        </w:r>
        <w:r>
          <w:tab/>
        </w:r>
        <w:r>
          <w:fldChar w:fldCharType="begin"/>
        </w:r>
        <w:r>
          <w:instrText xml:space="preserve"> PAGEREF _Toc124499130 \h </w:instrText>
        </w:r>
        <w:r>
          <w:fldChar w:fldCharType="separate"/>
        </w:r>
        <w:r>
          <w:t xml:space="preserve">84</w:t>
        </w:r>
        <w:r>
          <w:fldChar w:fldCharType="end"/>
        </w:r>
      </w:hyperlink>
      <w:r/>
      <w:r>
        <w:rPr>
          <w:sz w:val="22"/>
          <w:szCs w:val="22"/>
        </w:rPr>
      </w:r>
    </w:p>
    <w:p>
      <w:pPr>
        <w:pStyle w:val="1120"/>
        <w:ind w:right="140"/>
        <w:jc w:val="both"/>
        <w:spacing w:after="0"/>
        <w:rPr>
          <w:sz w:val="22"/>
          <w:szCs w:val="22"/>
        </w:rPr>
      </w:pPr>
      <w:r/>
      <w:hyperlink w:tooltip="#_Toc124499131" w:anchor="_Toc124499131" w:history="1">
        <w:r>
          <w:rPr>
            <w:rStyle w:val="1111"/>
          </w:rPr>
          <w:t xml:space="preserve">Приложение Б</w:t>
        </w:r>
        <w:r>
          <w:tab/>
        </w:r>
        <w:r>
          <w:tab/>
        </w:r>
        <w:r>
          <w:fldChar w:fldCharType="begin"/>
        </w:r>
        <w:r>
          <w:instrText xml:space="preserve"> PAGEREF _Toc124499131 \h </w:instrText>
        </w:r>
        <w:r>
          <w:fldChar w:fldCharType="separate"/>
        </w:r>
        <w:r>
          <w:t xml:space="preserve">88</w:t>
        </w:r>
        <w:r>
          <w:fldChar w:fldCharType="end"/>
        </w:r>
      </w:hyperlink>
      <w:r/>
      <w:r>
        <w:rPr>
          <w:sz w:val="22"/>
          <w:szCs w:val="22"/>
        </w:rPr>
      </w:r>
    </w:p>
    <w:p>
      <w:pPr>
        <w:pStyle w:val="1120"/>
        <w:ind w:right="140"/>
        <w:jc w:val="both"/>
        <w:spacing w:after="0"/>
        <w:rPr>
          <w:sz w:val="22"/>
          <w:szCs w:val="22"/>
        </w:rPr>
      </w:pPr>
      <w:r/>
      <w:hyperlink w:tooltip="#_Toc124499132" w:anchor="_Toc124499132" w:history="1">
        <w:r>
          <w:rPr>
            <w:rStyle w:val="1111"/>
          </w:rPr>
          <w:t xml:space="preserve">Приложение В</w:t>
        </w:r>
        <w:r>
          <w:tab/>
        </w:r>
        <w:r>
          <w:tab/>
        </w:r>
        <w:r>
          <w:fldChar w:fldCharType="begin"/>
        </w:r>
        <w:r>
          <w:instrText xml:space="preserve"> PAGEREF _Toc124499132 \h </w:instrText>
        </w:r>
        <w:r>
          <w:fldChar w:fldCharType="separate"/>
        </w:r>
        <w:r>
          <w:t xml:space="preserve">91</w:t>
        </w:r>
        <w:r>
          <w:fldChar w:fldCharType="end"/>
        </w:r>
      </w:hyperlink>
      <w:r/>
      <w:r>
        <w:rPr>
          <w:sz w:val="22"/>
          <w:szCs w:val="22"/>
        </w:rPr>
      </w:r>
    </w:p>
    <w:p>
      <w:pPr>
        <w:pStyle w:val="1120"/>
        <w:ind w:right="140"/>
        <w:jc w:val="both"/>
        <w:spacing w:after="0"/>
        <w:rPr>
          <w:sz w:val="22"/>
          <w:szCs w:val="22"/>
        </w:rPr>
      </w:pPr>
      <w:r/>
      <w:hyperlink w:tooltip="#_Toc124499133" w:anchor="_Toc124499133" w:history="1">
        <w:r>
          <w:rPr>
            <w:rStyle w:val="1111"/>
          </w:rPr>
          <w:t xml:space="preserve">Приложен</w:t>
        </w:r>
        <w:bookmarkStart w:id="15" w:name="_Hlt188531202"/>
        <w:bookmarkStart w:id="16" w:name="_Hlt188973166"/>
        <w:r>
          <w:rPr>
            <w:rStyle w:val="1111"/>
          </w:rPr>
          <w:t xml:space="preserve">и</w:t>
        </w:r>
        <w:bookmarkEnd w:id="15"/>
        <w:bookmarkEnd w:id="16"/>
        <w:r>
          <w:rPr>
            <w:rStyle w:val="1111"/>
          </w:rPr>
          <w:t xml:space="preserve">е Г</w:t>
        </w:r>
        <w:r>
          <w:tab/>
        </w:r>
        <w:r>
          <w:tab/>
        </w:r>
        <w:bookmarkStart w:id="17" w:name="_Hlt188530884"/>
        <w:r>
          <w:fldChar w:fldCharType="begin"/>
        </w:r>
        <w:r>
          <w:instrText xml:space="preserve"> PAGEREF _Toc124499133 \h </w:instrText>
        </w:r>
        <w:r>
          <w:fldChar w:fldCharType="separate"/>
        </w:r>
        <w:r>
          <w:t xml:space="preserve">92</w:t>
        </w:r>
        <w:r>
          <w:fldChar w:fldCharType="end"/>
        </w:r>
        <w:bookmarkEnd w:id="17"/>
      </w:hyperlink>
      <w:r/>
      <w:r>
        <w:rPr>
          <w:sz w:val="22"/>
          <w:szCs w:val="22"/>
        </w:rPr>
      </w:r>
    </w:p>
    <w:p>
      <w:pPr>
        <w:pStyle w:val="1118"/>
      </w:pPr>
      <w:r>
        <w:rPr>
          <w:b/>
          <w:bCs/>
          <w:sz w:val="22"/>
          <w:szCs w:val="22"/>
        </w:rPr>
        <w:t xml:space="preserve">          </w:t>
      </w:r>
      <w:hyperlink w:tooltip="#P1828" w:anchor="P1828" w:history="1">
        <w:r>
          <w:rPr>
            <w:rStyle w:val="1111"/>
          </w:rPr>
          <w:t xml:space="preserve">Прилож</w:t>
        </w:r>
        <w:bookmarkStart w:id="18" w:name="_Hlt188973134"/>
        <w:r>
          <w:rPr>
            <w:rStyle w:val="1111"/>
          </w:rPr>
          <w:t xml:space="preserve">е</w:t>
        </w:r>
        <w:bookmarkEnd w:id="18"/>
        <w:r>
          <w:rPr>
            <w:rStyle w:val="1111"/>
          </w:rPr>
          <w:t xml:space="preserve">ние Д</w:t>
        </w:r>
      </w:hyperlink>
      <w:r>
        <w:tab/>
        <w:t xml:space="preserve">93</w:t>
      </w:r>
      <w:r/>
    </w:p>
    <w:p>
      <w:pPr>
        <w:ind w:right="-569"/>
        <w:rPr>
          <w:bCs/>
        </w:rPr>
      </w:pPr>
      <w:r>
        <w:t xml:space="preserve">         </w:t>
      </w:r>
      <w:r>
        <w:rPr>
          <w:bCs/>
        </w:rPr>
      </w:r>
    </w:p>
    <w:p>
      <w:pPr>
        <w:ind w:right="140" w:firstLine="709"/>
        <w:jc w:val="both"/>
        <w:tabs>
          <w:tab w:val="right" w:pos="10064" w:leader="dot"/>
        </w:tabs>
      </w:pPr>
      <w:r>
        <w:rPr>
          <w:bCs/>
        </w:rPr>
        <w:fldChar w:fldCharType="end"/>
      </w:r>
      <w:r/>
    </w:p>
    <w:p>
      <w:pPr>
        <w:ind w:firstLine="709"/>
      </w:pPr>
      <w:r/>
      <w:bookmarkStart w:id="19" w:name="Область_применения_1"/>
      <w:r>
        <w:br w:type="page" w:clear="all"/>
      </w:r>
      <w:r/>
    </w:p>
    <w:p>
      <w:pPr>
        <w:ind w:left="709"/>
        <w:rPr>
          <w:b/>
          <w:sz w:val="32"/>
          <w:szCs w:val="32"/>
        </w:rPr>
        <w:outlineLvl w:val="0"/>
      </w:pPr>
      <w:r/>
      <w:bookmarkStart w:id="20" w:name="_Toc124499085"/>
      <w:r>
        <w:rPr>
          <w:b/>
          <w:sz w:val="32"/>
          <w:szCs w:val="32"/>
        </w:rPr>
        <w:t xml:space="preserve">Введение</w:t>
      </w:r>
      <w:bookmarkEnd w:id="19"/>
      <w:r/>
      <w:r>
        <w:rPr>
          <w:b/>
          <w:sz w:val="32"/>
          <w:szCs w:val="32"/>
        </w:rPr>
      </w:r>
    </w:p>
    <w:p>
      <w:pPr>
        <w:ind w:left="709"/>
        <w:rPr>
          <w:b/>
        </w:rPr>
        <w:outlineLvl w:val="0"/>
      </w:pPr>
      <w:r>
        <w:rPr>
          <w:b/>
        </w:rPr>
      </w:r>
      <w:r>
        <w:rPr>
          <w:b/>
        </w:rPr>
      </w:r>
    </w:p>
    <w:p>
      <w:pPr>
        <w:ind w:firstLine="709"/>
        <w:jc w:val="both"/>
        <w:rPr>
          <w:sz w:val="28"/>
          <w:szCs w:val="28"/>
        </w:rPr>
      </w:pPr>
      <w:r>
        <w:rPr>
          <w:sz w:val="28"/>
          <w:szCs w:val="28"/>
        </w:rPr>
        <w:t xml:space="preserve">В нас</w:t>
      </w:r>
      <w:r>
        <w:rPr>
          <w:sz w:val="28"/>
          <w:szCs w:val="28"/>
        </w:rPr>
        <w:t xml:space="preserve">тоящих Руководящих указаниях изложены основные требования пожарной безопасности, определяющие порядок поведения и действий работников при пожаре, содержания территорий, зданий, сооружений, помещений, электроустановок и других объектов защиты ПАО «Россети».</w:t>
      </w:r>
      <w:r>
        <w:rPr>
          <w:sz w:val="28"/>
          <w:szCs w:val="28"/>
        </w:rPr>
      </w:r>
    </w:p>
    <w:p>
      <w:pPr>
        <w:ind w:left="709"/>
        <w:rPr>
          <w:b/>
          <w:sz w:val="32"/>
          <w:szCs w:val="32"/>
        </w:rPr>
        <w:outlineLvl w:val="0"/>
      </w:pPr>
      <w:r>
        <w:rPr>
          <w:b/>
          <w:sz w:val="32"/>
          <w:szCs w:val="32"/>
        </w:rPr>
      </w:r>
      <w:r>
        <w:rPr>
          <w:b/>
          <w:sz w:val="32"/>
          <w:szCs w:val="32"/>
        </w:rPr>
      </w:r>
    </w:p>
    <w:p>
      <w:pPr>
        <w:pStyle w:val="1142"/>
        <w:numPr>
          <w:ilvl w:val="0"/>
          <w:numId w:val="50"/>
        </w:numPr>
        <w:rPr>
          <w:rFonts w:ascii="Times New Roman" w:hAnsi="Times New Roman" w:cs="Times New Roman"/>
          <w:b/>
          <w:sz w:val="32"/>
          <w:szCs w:val="32"/>
        </w:rPr>
        <w:outlineLvl w:val="0"/>
      </w:pPr>
      <w:r/>
      <w:bookmarkStart w:id="21" w:name="_Toc124499086"/>
      <w:r>
        <w:rPr>
          <w:rFonts w:ascii="Times New Roman" w:hAnsi="Times New Roman" w:cs="Times New Roman"/>
          <w:b/>
          <w:sz w:val="32"/>
          <w:szCs w:val="32"/>
        </w:rPr>
        <w:t xml:space="preserve">Область применения</w:t>
      </w:r>
      <w:bookmarkEnd w:id="20"/>
      <w:r/>
      <w:bookmarkEnd w:id="21"/>
      <w:r/>
      <w:r>
        <w:rPr>
          <w:rFonts w:ascii="Times New Roman" w:hAnsi="Times New Roman" w:cs="Times New Roman"/>
          <w:b/>
          <w:sz w:val="32"/>
          <w:szCs w:val="32"/>
        </w:rPr>
      </w:r>
    </w:p>
    <w:p>
      <w:pPr>
        <w:pStyle w:val="1142"/>
        <w:ind w:left="1069"/>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p>
    <w:p>
      <w:pPr>
        <w:pStyle w:val="1143"/>
        <w:numPr>
          <w:ilvl w:val="0"/>
          <w:numId w:val="39"/>
        </w:numPr>
        <w:ind w:left="0" w:firstLine="709"/>
        <w:jc w:val="both"/>
        <w:tabs>
          <w:tab w:val="left" w:pos="1276" w:leader="none"/>
        </w:tabs>
        <w:rPr>
          <w:sz w:val="28"/>
          <w:szCs w:val="28"/>
        </w:rPr>
      </w:pPr>
      <w:r>
        <w:rPr>
          <w:sz w:val="28"/>
          <w:szCs w:val="28"/>
        </w:rPr>
        <w:t xml:space="preserve">Настоящие Руководящие указания </w:t>
      </w:r>
      <w:r>
        <w:rPr>
          <w:color w:val="000000"/>
          <w:sz w:val="28"/>
          <w:szCs w:val="28"/>
        </w:rPr>
        <w:t xml:space="preserve">устанавливают основные требования пожарной безопасности на объектах ПАО «Россети» и являются основным нормативно-техническим документом, регулирующим вопросы пожарной безопасности и соблюдение противопожарного режима на объектах ПАО «Россети».</w:t>
      </w:r>
      <w:r>
        <w:t xml:space="preserve"> </w:t>
      </w:r>
      <w:r>
        <w:rPr>
          <w:sz w:val="28"/>
          <w:szCs w:val="28"/>
        </w:rPr>
        <w:t xml:space="preserve">Руководящие указания следует применять в части, не противоречащей действующим требованиям федеральных нормативных правовых актов и нормативных документов по пожарной безопасности.</w:t>
      </w:r>
      <w:r>
        <w:rPr>
          <w:sz w:val="28"/>
          <w:szCs w:val="28"/>
        </w:rPr>
      </w:r>
    </w:p>
    <w:p>
      <w:pPr>
        <w:pStyle w:val="1143"/>
        <w:numPr>
          <w:ilvl w:val="0"/>
          <w:numId w:val="39"/>
        </w:numPr>
        <w:ind w:left="0" w:firstLine="709"/>
        <w:jc w:val="both"/>
        <w:tabs>
          <w:tab w:val="left" w:pos="1276" w:leader="none"/>
        </w:tabs>
        <w:rPr>
          <w:sz w:val="28"/>
          <w:szCs w:val="28"/>
        </w:rPr>
      </w:pPr>
      <w:r>
        <w:rPr>
          <w:color w:val="000000"/>
          <w:sz w:val="28"/>
          <w:szCs w:val="28"/>
        </w:rPr>
        <w:t xml:space="preserve">Знание и применение настоящих </w:t>
      </w:r>
      <w:r>
        <w:rPr>
          <w:sz w:val="28"/>
          <w:szCs w:val="28"/>
        </w:rPr>
        <w:t xml:space="preserve">Руководящих указаний</w:t>
      </w:r>
      <w:r>
        <w:rPr>
          <w:color w:val="000000"/>
          <w:sz w:val="28"/>
          <w:szCs w:val="28"/>
        </w:rPr>
        <w:t xml:space="preserve"> обязательно для всех инженерно-технических и других рабо</w:t>
      </w:r>
      <w:r>
        <w:rPr>
          <w:color w:val="000000"/>
          <w:sz w:val="28"/>
          <w:szCs w:val="28"/>
        </w:rPr>
        <w:t xml:space="preserve">тников ПАО «Россети», выполняющих (организующих, контролирующих) эксплуатацию, ремонт (реконструкцию, модернизацию), наладку и испытание технологического оборудования основных производств и вспомогательных сооружений на объектах ПАО «Россети». Работники ст</w:t>
      </w:r>
      <w:r>
        <w:rPr>
          <w:color w:val="000000"/>
          <w:sz w:val="28"/>
          <w:szCs w:val="28"/>
        </w:rPr>
        <w:t xml:space="preserve">оронних организаций, выполняющих эксплуатацию, ремонт (реконструкцию), наладку, испытание, утилизацию технологического оборудования основных производств и вспомогательных сооружений на объектах ПАО «Россети» должны быть ознакомлены с основными положениями </w:t>
      </w:r>
      <w:r>
        <w:rPr>
          <w:sz w:val="28"/>
          <w:szCs w:val="28"/>
        </w:rPr>
        <w:t xml:space="preserve">Руководящих указаний</w:t>
      </w:r>
      <w:r>
        <w:rPr>
          <w:color w:val="000000"/>
          <w:sz w:val="28"/>
          <w:szCs w:val="28"/>
        </w:rPr>
        <w:t xml:space="preserve"> при проведении вводного и первичного противопожарного инструктажа на рабочем месте.</w:t>
      </w:r>
      <w:r>
        <w:rPr>
          <w:sz w:val="28"/>
          <w:szCs w:val="28"/>
        </w:rPr>
      </w:r>
    </w:p>
    <w:p>
      <w:pPr>
        <w:rPr>
          <w:b/>
          <w:bCs/>
        </w:rPr>
      </w:pPr>
      <w:r>
        <w:rPr>
          <w:b/>
          <w:bCs/>
        </w:rPr>
      </w:r>
      <w:r>
        <w:rPr>
          <w:b/>
          <w:bCs/>
        </w:rPr>
      </w:r>
    </w:p>
    <w:p>
      <w:pPr>
        <w:pStyle w:val="1142"/>
        <w:numPr>
          <w:ilvl w:val="0"/>
          <w:numId w:val="50"/>
        </w:numPr>
        <w:rPr>
          <w:rFonts w:ascii="Times New Roman" w:hAnsi="Times New Roman" w:cs="Times New Roman"/>
          <w:b/>
          <w:bCs/>
          <w:sz w:val="32"/>
          <w:szCs w:val="32"/>
        </w:rPr>
        <w:outlineLvl w:val="0"/>
      </w:pPr>
      <w:r/>
      <w:bookmarkStart w:id="22" w:name="_Toc124499087"/>
      <w:r/>
      <w:bookmarkStart w:id="23" w:name="Термины_и_определения_2"/>
      <w:r>
        <w:rPr>
          <w:rFonts w:ascii="Times New Roman" w:hAnsi="Times New Roman" w:cs="Times New Roman"/>
          <w:b/>
          <w:bCs/>
          <w:sz w:val="32"/>
          <w:szCs w:val="32"/>
        </w:rPr>
        <w:t xml:space="preserve">Нормативные ссылки.</w:t>
      </w:r>
      <w:bookmarkEnd w:id="22"/>
      <w:r/>
      <w:r>
        <w:rPr>
          <w:rFonts w:ascii="Times New Roman" w:hAnsi="Times New Roman" w:cs="Times New Roman"/>
          <w:b/>
          <w:bCs/>
          <w:sz w:val="32"/>
          <w:szCs w:val="32"/>
        </w:rPr>
      </w:r>
    </w:p>
    <w:p>
      <w:pPr>
        <w:rPr>
          <w:b/>
          <w:bCs/>
        </w:rPr>
        <w:outlineLvl w:val="0"/>
      </w:pPr>
      <w:r>
        <w:rPr>
          <w:b/>
          <w:bCs/>
        </w:rPr>
      </w:r>
      <w:r>
        <w:rPr>
          <w:b/>
          <w:bCs/>
        </w:rPr>
      </w:r>
    </w:p>
    <w:p>
      <w:pPr>
        <w:ind w:firstLine="709"/>
        <w:jc w:val="both"/>
        <w:tabs>
          <w:tab w:val="left" w:pos="1560" w:leader="none"/>
        </w:tabs>
        <w:rPr>
          <w:color w:val="000000"/>
          <w:sz w:val="28"/>
          <w:szCs w:val="28"/>
        </w:rPr>
      </w:pPr>
      <w:r>
        <w:rPr>
          <w:color w:val="000000"/>
          <w:sz w:val="28"/>
          <w:szCs w:val="28"/>
        </w:rPr>
        <w:t xml:space="preserve">В настоящих </w:t>
      </w:r>
      <w:r>
        <w:rPr>
          <w:sz w:val="28"/>
          <w:szCs w:val="28"/>
        </w:rPr>
        <w:t xml:space="preserve">Руководящих указаниях</w:t>
      </w:r>
      <w:r>
        <w:rPr>
          <w:color w:val="000000"/>
          <w:sz w:val="28"/>
          <w:szCs w:val="28"/>
        </w:rPr>
        <w:t xml:space="preserve"> использованы ссылки на следующие нормативные правовые акты и нормативные документы:</w:t>
      </w:r>
      <w:r>
        <w:rPr>
          <w:color w:val="000000"/>
          <w:sz w:val="28"/>
          <w:szCs w:val="28"/>
        </w:rPr>
      </w:r>
    </w:p>
    <w:p>
      <w:pPr>
        <w:ind w:firstLine="709"/>
        <w:jc w:val="both"/>
        <w:tabs>
          <w:tab w:val="left" w:pos="1560" w:leader="none"/>
        </w:tabs>
        <w:rPr>
          <w:color w:val="000000"/>
          <w:sz w:val="28"/>
          <w:szCs w:val="28"/>
        </w:rPr>
      </w:pPr>
      <w:r/>
      <w:hyperlink r:id="rId13" w:tooltip="&quot;Градостроительный кодекс Российской Федерации (с изменениями на 26 декабря 2024 года) (редакция, действующая с 1 марта 2025 года)&quot;Кодекс РФ от 29.12.2004 N 190-ФЗСтатус: Действующая редакция документа (действ. c 01.03.2025)" w:history="1">
        <w:r>
          <w:rPr>
            <w:rStyle w:val="1111"/>
            <w:color w:val="0000aa"/>
            <w:sz w:val="28"/>
            <w:szCs w:val="28"/>
          </w:rPr>
          <w:t xml:space="preserve">Федеральный закон от 29.12.2004 № 190-ФЗ</w:t>
        </w:r>
      </w:hyperlink>
      <w:r>
        <w:rPr>
          <w:color w:val="000000"/>
          <w:sz w:val="28"/>
          <w:szCs w:val="28"/>
        </w:rPr>
        <w:t xml:space="preserve"> «</w:t>
      </w:r>
      <w:hyperlink r:id="rId14" w:tooltip="&quot;Градостроительный кодекс Российской Федерации (с изменениями на 26 декабря 2024 года) (редакция, действующая с 1 марта 2025 года)&quot;Кодекс РФ от 29.12.2004 N 190-ФЗСтатус: Действующая редакция документа (действ. c 01.03.2025)" w:history="1">
        <w:r>
          <w:rPr>
            <w:rStyle w:val="1111"/>
            <w:color w:val="0000aa"/>
            <w:sz w:val="28"/>
            <w:szCs w:val="28"/>
          </w:rPr>
          <w:t xml:space="preserve">Градостроительный кодекс Российской Федерации</w:t>
        </w:r>
      </w:hyperlink>
      <w:r>
        <w:rPr>
          <w:color w:val="000000"/>
          <w:sz w:val="28"/>
          <w:szCs w:val="28"/>
        </w:rPr>
        <w:t xml:space="preserve">»;</w:t>
      </w:r>
      <w:r>
        <w:rPr>
          <w:color w:val="000000"/>
          <w:sz w:val="28"/>
          <w:szCs w:val="28"/>
        </w:rPr>
      </w:r>
    </w:p>
    <w:p>
      <w:pPr>
        <w:ind w:firstLine="709"/>
        <w:jc w:val="both"/>
        <w:tabs>
          <w:tab w:val="left" w:pos="1560" w:leader="none"/>
        </w:tabs>
        <w:rPr>
          <w:color w:val="000000"/>
          <w:sz w:val="28"/>
          <w:szCs w:val="28"/>
        </w:rPr>
      </w:pPr>
      <w:r/>
      <w:hyperlink r:id="rId15" w:tooltip="&quot;О транспортной безопасности (с изменениями на 8 августа 2024 года) (редакция, действующая с 1 марта 2025 года)&quot;Федеральный закон от 09.02.2007 N 16-ФЗСтатус: Действующая редакция документа (действ. c 01.03.2025)" w:history="1">
        <w:r>
          <w:rPr>
            <w:rStyle w:val="1111"/>
            <w:color w:val="0000aa"/>
            <w:sz w:val="28"/>
            <w:szCs w:val="28"/>
          </w:rPr>
          <w:t xml:space="preserve">Федеральный закон от 09.02.2007 № 16-ФЗ</w:t>
        </w:r>
      </w:hyperlink>
      <w:r>
        <w:rPr>
          <w:color w:val="000000"/>
          <w:sz w:val="28"/>
          <w:szCs w:val="28"/>
        </w:rPr>
        <w:t xml:space="preserve"> «О транспортной безопасности»;</w:t>
      </w:r>
      <w:r>
        <w:rPr>
          <w:color w:val="000000"/>
          <w:sz w:val="28"/>
          <w:szCs w:val="28"/>
        </w:rPr>
      </w:r>
    </w:p>
    <w:p>
      <w:pPr>
        <w:ind w:firstLine="709"/>
        <w:jc w:val="both"/>
        <w:tabs>
          <w:tab w:val="left" w:pos="1560" w:leader="none"/>
        </w:tabs>
        <w:rPr>
          <w:color w:val="000000"/>
          <w:sz w:val="28"/>
          <w:szCs w:val="28"/>
        </w:rPr>
      </w:pPr>
      <w:r/>
      <w:hyperlink r:id="rId16" w:tooltip="&quot;Технический регламент о требованиях пожарной безопасности (с изменениями на 25 декабря 2023 года)&quot;Федеральный закон от 22.07.2008 N 123-ФЗСтатус: Действующая редакция документа (действ. c 05.01.2024)" w:history="1">
        <w:r>
          <w:rPr>
            <w:rStyle w:val="1111"/>
            <w:color w:val="0000aa"/>
            <w:sz w:val="28"/>
            <w:szCs w:val="28"/>
          </w:rPr>
          <w:t xml:space="preserve">Федеральный закон от 22.07.2008 № 123-ФЗ</w:t>
        </w:r>
      </w:hyperlink>
      <w:r>
        <w:rPr>
          <w:color w:val="000000"/>
          <w:sz w:val="28"/>
          <w:szCs w:val="28"/>
        </w:rPr>
        <w:t xml:space="preserve"> «Технический регламент о требованиях пожарной безопасности»;</w:t>
      </w:r>
      <w:r>
        <w:rPr>
          <w:color w:val="000000"/>
          <w:sz w:val="28"/>
          <w:szCs w:val="28"/>
        </w:rPr>
      </w:r>
    </w:p>
    <w:p>
      <w:pPr>
        <w:ind w:firstLine="709"/>
        <w:jc w:val="both"/>
        <w:tabs>
          <w:tab w:val="left" w:pos="1560" w:leader="none"/>
        </w:tabs>
        <w:rPr>
          <w:color w:val="000000"/>
          <w:sz w:val="28"/>
          <w:szCs w:val="28"/>
        </w:rPr>
      </w:pPr>
      <w:r/>
      <w:hyperlink r:id="rId17" w:tooltip="&quot;Об утверждении Правил противопожарного режима в Российской Федерации (с ...&quot;Постановление Правительства РФ от 16.09.2020 N 1479Статус: Действующий документ. С ограниченным сроком действия (действ. c 01.01.2021 по 31.08.2025)" w:history="1">
        <w:r>
          <w:rPr>
            <w:rStyle w:val="1111"/>
            <w:color w:val="0000aa"/>
            <w:sz w:val="28"/>
            <w:szCs w:val="28"/>
          </w:rPr>
          <w:t xml:space="preserve">Постановление Правительства РФ от 16.09.2020 № 1479</w:t>
        </w:r>
      </w:hyperlink>
      <w:r>
        <w:rPr>
          <w:color w:val="000000"/>
          <w:sz w:val="28"/>
          <w:szCs w:val="28"/>
        </w:rPr>
        <w:t xml:space="preserve"> «Об утверждении Правил противопожарного режима в Российской Федерации»;</w:t>
      </w:r>
      <w:r>
        <w:rPr>
          <w:color w:val="000000"/>
          <w:sz w:val="28"/>
          <w:szCs w:val="28"/>
        </w:rPr>
      </w:r>
    </w:p>
    <w:p>
      <w:pPr>
        <w:ind w:firstLine="709"/>
        <w:jc w:val="both"/>
        <w:tabs>
          <w:tab w:val="left" w:pos="1560" w:leader="none"/>
        </w:tabs>
        <w:rPr>
          <w:color w:val="000000"/>
          <w:sz w:val="28"/>
          <w:szCs w:val="28"/>
        </w:rPr>
      </w:pPr>
      <w:r>
        <w:rPr>
          <w:rStyle w:val="1111"/>
          <w:color w:val="0000aa"/>
          <w:sz w:val="28"/>
          <w:szCs w:val="28"/>
        </w:rPr>
        <w:t xml:space="preserve">Приказ Минэнерго РФ от 08.07.2002 № 204</w:t>
      </w:r>
      <w:r>
        <w:rPr>
          <w:color w:val="000000"/>
          <w:sz w:val="28"/>
          <w:szCs w:val="28"/>
        </w:rPr>
        <w:t xml:space="preserve"> «Об утверждении глав Правил устройства электроустановок»;</w:t>
      </w:r>
      <w:r>
        <w:rPr>
          <w:color w:val="000000"/>
          <w:sz w:val="28"/>
          <w:szCs w:val="28"/>
        </w:rPr>
      </w:r>
    </w:p>
    <w:p>
      <w:pPr>
        <w:ind w:firstLine="709"/>
        <w:jc w:val="both"/>
        <w:rPr>
          <w:sz w:val="28"/>
          <w:szCs w:val="28"/>
        </w:rPr>
      </w:pPr>
      <w:r/>
      <w:hyperlink r:id="rId18" w:tooltip="&quot;Об утверждении Правил работы с персоналом в организациях электроэнергетики Российской Федерации  (с изменениями на 9 декабря 2024 года)&quot;Приказ Минэнерго России от 22.09.2020 N 796Статус: Действующая редакция документа (действ. c 08.01.2025)" w:history="1">
        <w:r>
          <w:rPr>
            <w:rStyle w:val="1111"/>
            <w:color w:val="0000aa"/>
            <w:sz w:val="28"/>
            <w:szCs w:val="28"/>
          </w:rPr>
          <w:t xml:space="preserve">Приказ Минэнерго России от 22.09.2020 № 796</w:t>
        </w:r>
      </w:hyperlink>
      <w:r>
        <w:rPr>
          <w:sz w:val="28"/>
          <w:szCs w:val="28"/>
        </w:rPr>
        <w:t xml:space="preserve"> «Об утверждении Правил работы с персоналом в организациях электроэнергетики Российской Федерации»;</w:t>
      </w:r>
      <w:r>
        <w:rPr>
          <w:sz w:val="28"/>
          <w:szCs w:val="28"/>
        </w:rPr>
      </w:r>
    </w:p>
    <w:p>
      <w:pPr>
        <w:ind w:firstLine="709"/>
        <w:jc w:val="both"/>
        <w:rPr>
          <w:sz w:val="28"/>
          <w:szCs w:val="28"/>
        </w:rPr>
      </w:pPr>
      <w:r/>
      <w:hyperlink r:id="rId19" w:tooltip="&quot;Об утверждении Правил по охране труда при эксплуатации электроустановок ...&quot;Приказ Минтруда России от 15.12.2020 N 903нСтатус: Действующий документ. С ограниченным сроком действия (действ. c 01.01.2021 по 30.12.2025)" w:history="1">
        <w:r>
          <w:rPr>
            <w:rStyle w:val="1111"/>
            <w:color w:val="0000aa"/>
            <w:sz w:val="28"/>
            <w:szCs w:val="28"/>
          </w:rPr>
          <w:t xml:space="preserve">Приказ Минтруда России от 15.12.2020 № 903н</w:t>
        </w:r>
      </w:hyperlink>
      <w:r>
        <w:rPr>
          <w:sz w:val="28"/>
          <w:szCs w:val="28"/>
        </w:rPr>
        <w:t xml:space="preserve"> «Об утверждении Правил по охране труда при эксплуатации электроустановок»;</w:t>
      </w:r>
      <w:r>
        <w:rPr>
          <w:sz w:val="28"/>
          <w:szCs w:val="28"/>
        </w:rPr>
      </w:r>
    </w:p>
    <w:p>
      <w:pPr>
        <w:ind w:firstLine="709"/>
        <w:jc w:val="both"/>
        <w:rPr>
          <w:sz w:val="28"/>
          <w:szCs w:val="28"/>
        </w:rPr>
      </w:pPr>
      <w:r/>
      <w:hyperlink r:id="rId20" w:tooltip="&quot;ГОСТ 12.1.033-81 Система стандартов безопасности труда (ССБТ). Пожарная ...&quot;(утв. постановлением Госстандарта СССР от 27.08.1981 N ...Статус: Действующий документ. Применяется для целей технического регламента (действ. c 01.07.1982)" w:history="1">
        <w:r>
          <w:rPr>
            <w:rStyle w:val="1111"/>
            <w:color w:val="0000aa"/>
            <w:sz w:val="28"/>
            <w:szCs w:val="28"/>
          </w:rPr>
          <w:t xml:space="preserve">ГОСТ </w:t>
        </w:r>
        <w:r>
          <w:rPr>
            <w:rStyle w:val="1111"/>
            <w:bCs/>
            <w:color w:val="0000aa"/>
            <w:sz w:val="28"/>
            <w:szCs w:val="28"/>
          </w:rPr>
          <w:t xml:space="preserve">12.1.033-81*</w:t>
        </w:r>
      </w:hyperlink>
      <w:r>
        <w:rPr>
          <w:sz w:val="28"/>
          <w:szCs w:val="28"/>
        </w:rPr>
        <w:t xml:space="preserve"> «Система стандартов безопасности труда. Пожарная безопасность. Термины и определения»;</w:t>
      </w:r>
      <w:r>
        <w:rPr>
          <w:sz w:val="28"/>
          <w:szCs w:val="28"/>
        </w:rPr>
      </w:r>
    </w:p>
    <w:p>
      <w:pPr>
        <w:ind w:firstLine="709"/>
        <w:jc w:val="both"/>
        <w:rPr>
          <w:sz w:val="28"/>
          <w:szCs w:val="28"/>
        </w:rPr>
      </w:pPr>
      <w:r/>
      <w:hyperlink r:id="rId21" w:tooltip="&quot;ГОСТ 12.2.047-86 Система стандартов безопасности труда (ССБТ). Пожарная техника. Термины ...&quot;(утв. постановлением Госстандарта СССР от 30.06.1986 N 1982)Применяется с 01.07.1987 ...Статус: Действующая редакция документа (действ. c 01.07.1987)" w:history="1">
        <w:r>
          <w:rPr>
            <w:rStyle w:val="1111"/>
            <w:color w:val="0000aa"/>
            <w:sz w:val="28"/>
            <w:szCs w:val="28"/>
          </w:rPr>
          <w:t xml:space="preserve">ГОСТ 12.2.047-86</w:t>
        </w:r>
      </w:hyperlink>
      <w:r>
        <w:rPr>
          <w:sz w:val="28"/>
          <w:szCs w:val="28"/>
        </w:rPr>
        <w:t xml:space="preserve"> «Система стандартов безопасности труда. Пожарная техника. Термины и определения»;</w:t>
      </w:r>
      <w:r>
        <w:rPr>
          <w:sz w:val="28"/>
          <w:szCs w:val="28"/>
        </w:rPr>
      </w:r>
    </w:p>
    <w:p>
      <w:pPr>
        <w:ind w:firstLine="709"/>
        <w:jc w:val="both"/>
        <w:rPr>
          <w:sz w:val="28"/>
          <w:szCs w:val="28"/>
        </w:rPr>
      </w:pPr>
      <w:r/>
      <w:hyperlink r:id="rId22" w:tooltip="&quot;ГОСТ 12.4.026-2015 Система стандартов безопасности труда (ССБТ). Цвета ...&quot;(утв. приказом Росстандарта от 10.06.2016 N 614-ст)Применяется с ...Статус: Действующий документ. Применяется для целей технического регламента (действ. c 01.03.2017)" w:history="1">
        <w:r>
          <w:rPr>
            <w:rStyle w:val="1111"/>
            <w:color w:val="0000aa"/>
            <w:sz w:val="28"/>
            <w:szCs w:val="28"/>
          </w:rPr>
          <w:t xml:space="preserve">ГОСТ 12.4.026-2015</w:t>
        </w:r>
      </w:hyperlink>
      <w:r>
        <w:rPr>
          <w:sz w:val="28"/>
          <w:szCs w:val="28"/>
        </w:rPr>
        <w:t xml:space="preserve"> «Система стандартов безопасности труда. Цвета сигнальные, знаки безопасности и разметка сигнальная».</w:t>
      </w:r>
      <w:r>
        <w:rPr>
          <w:sz w:val="28"/>
          <w:szCs w:val="28"/>
        </w:rPr>
      </w:r>
    </w:p>
    <w:p>
      <w:pPr>
        <w:ind w:firstLine="709"/>
        <w:jc w:val="both"/>
        <w:rPr>
          <w:sz w:val="28"/>
          <w:szCs w:val="28"/>
        </w:rPr>
      </w:pPr>
      <w:r/>
      <w:hyperlink r:id="rId23" w:tooltip="&quot;ГОСТ Р 51057-2001 Техника пожарная. Огнетушители переносные. Общие ...&quot;(утв. постановлением Госстандарта России от 25.10.2001 N ...Статус: Действующий документ. Применяется для целей технического регламента (действ. c 01.07.2002)" w:history="1">
        <w:r>
          <w:rPr>
            <w:rStyle w:val="1111"/>
            <w:color w:val="0000aa"/>
            <w:sz w:val="28"/>
            <w:szCs w:val="28"/>
          </w:rPr>
          <w:t xml:space="preserve">ГОСТ Р 510</w:t>
        </w:r>
        <w:bookmarkStart w:id="24" w:name="_Hlt185247149"/>
        <w:bookmarkStart w:id="25" w:name="_Hlt185247150"/>
        <w:r>
          <w:rPr>
            <w:rStyle w:val="1111"/>
            <w:color w:val="0000aa"/>
            <w:sz w:val="28"/>
            <w:szCs w:val="28"/>
          </w:rPr>
          <w:t xml:space="preserve">5</w:t>
        </w:r>
        <w:bookmarkEnd w:id="23"/>
        <w:bookmarkEnd w:id="24"/>
        <w:r>
          <w:rPr>
            <w:rStyle w:val="1111"/>
            <w:color w:val="0000aa"/>
            <w:sz w:val="28"/>
            <w:szCs w:val="28"/>
          </w:rPr>
          <w:t xml:space="preserve">7-2001</w:t>
        </w:r>
      </w:hyperlink>
      <w:r>
        <w:rPr>
          <w:sz w:val="28"/>
          <w:szCs w:val="28"/>
        </w:rPr>
        <w:t xml:space="preserve"> «Техника пожарная. Огнетушители переносные. Общие технические требования. Методы испытаний»;</w:t>
      </w:r>
      <w:r>
        <w:rPr>
          <w:sz w:val="28"/>
          <w:szCs w:val="28"/>
        </w:rPr>
      </w:r>
    </w:p>
    <w:p>
      <w:pPr>
        <w:ind w:firstLine="709"/>
        <w:jc w:val="both"/>
        <w:rPr>
          <w:sz w:val="28"/>
          <w:szCs w:val="28"/>
        </w:rPr>
      </w:pPr>
      <w:r/>
      <w:hyperlink r:id="rId24" w:tooltip="&quot;ГОСТ Р 51017-2009 Техника пожарная. Огнетушители передвижные. Общие ...&quot;(утв. приказом Росстандарта от 18.02.2009 N 66-ст)Применяется с ...Статус: Действующий документ. Применяется для целей технического регламента (действ. c 01.05.2009)" w:history="1">
        <w:r>
          <w:rPr>
            <w:rStyle w:val="1111"/>
            <w:color w:val="0000aa"/>
            <w:sz w:val="28"/>
            <w:szCs w:val="28"/>
          </w:rPr>
          <w:t xml:space="preserve">ГОСТ Р 51017-2009</w:t>
        </w:r>
      </w:hyperlink>
      <w:r>
        <w:rPr>
          <w:sz w:val="28"/>
          <w:szCs w:val="28"/>
        </w:rPr>
        <w:t xml:space="preserve"> «Техника пожарная. Огнетушители передвижные. Общие технические требования. Методы испытаний»; </w:t>
      </w:r>
      <w:r>
        <w:rPr>
          <w:sz w:val="28"/>
          <w:szCs w:val="28"/>
        </w:rPr>
      </w:r>
    </w:p>
    <w:p>
      <w:pPr>
        <w:ind w:firstLine="709"/>
        <w:jc w:val="both"/>
        <w:rPr>
          <w:sz w:val="28"/>
          <w:szCs w:val="28"/>
        </w:rPr>
      </w:pPr>
      <w:r>
        <w:rPr>
          <w:rStyle w:val="1111"/>
          <w:color w:val="0000aa"/>
          <w:sz w:val="28"/>
          <w:szCs w:val="28"/>
        </w:rPr>
        <w:t xml:space="preserve">ГОСТ Р 59641-2021</w:t>
      </w:r>
      <w:r>
        <w:rPr>
          <w:sz w:val="28"/>
          <w:szCs w:val="28"/>
        </w:rPr>
        <w:t xml:space="preserve"> «Средства противопожарной защиты зданий и сооружений. Средства первичные пожаротушения. Руководство по размещению, техническому обслуживанию и ремонту. Методы испытаний на работоспособность»;</w:t>
      </w:r>
      <w:r>
        <w:rPr>
          <w:sz w:val="28"/>
          <w:szCs w:val="28"/>
        </w:rPr>
      </w:r>
    </w:p>
    <w:p>
      <w:pPr>
        <w:ind w:firstLine="709"/>
        <w:jc w:val="both"/>
        <w:rPr>
          <w:sz w:val="28"/>
          <w:szCs w:val="28"/>
        </w:rPr>
      </w:pPr>
      <w:r/>
      <w:hyperlink r:id="rId25" w:tooltip="&quot;О принятии строительных норм и правил Российской Федерации &quot;Безопасность труда в ...&quot;Постановление Госстроя России от 23.07.2001 N 80Строительные нормы и правила Российской Федерации от ...Статус: Действующий документ (действ. c 01.09.2001)" w:history="1">
        <w:r>
          <w:rPr>
            <w:rStyle w:val="1111"/>
            <w:color w:val="0000aa"/>
            <w:sz w:val="28"/>
            <w:szCs w:val="28"/>
          </w:rPr>
          <w:t xml:space="preserve">СНиП 12-03-2001</w:t>
        </w:r>
      </w:hyperlink>
      <w:r>
        <w:rPr>
          <w:sz w:val="28"/>
          <w:szCs w:val="28"/>
        </w:rPr>
        <w:t xml:space="preserve"> (</w:t>
      </w:r>
      <w:hyperlink r:id="rId26" w:tooltip="&quot;О принятии строительных норм и правил Российской Федерации &quot;Безопасность труда в ...&quot;Постановление Госстроя России от 23.07.2001 N 80Строительные нормы и правила Российской Федерации от ...Статус: Действующий документ (действ. c 01.09.2001)" w:history="1">
        <w:r>
          <w:rPr>
            <w:rStyle w:val="1111"/>
            <w:color w:val="0000aa"/>
            <w:sz w:val="28"/>
            <w:szCs w:val="28"/>
          </w:rPr>
          <w:t xml:space="preserve">СП 49.13330.2010</w:t>
        </w:r>
      </w:hyperlink>
      <w:r>
        <w:rPr>
          <w:sz w:val="28"/>
          <w:szCs w:val="28"/>
        </w:rPr>
        <w:t xml:space="preserve">) «Безопасность труда в строительстве. Часть 1. Общие требования»;</w:t>
      </w:r>
      <w:r>
        <w:rPr>
          <w:sz w:val="28"/>
          <w:szCs w:val="28"/>
        </w:rPr>
      </w:r>
    </w:p>
    <w:p>
      <w:pPr>
        <w:ind w:firstLine="709"/>
        <w:jc w:val="both"/>
        <w:rPr>
          <w:sz w:val="28"/>
          <w:szCs w:val="28"/>
        </w:rPr>
      </w:pPr>
      <w:r/>
      <w:hyperlink r:id="rId27" w:tooltip="&quot;СП 52.13330.2016  Естественное и искусственное освещение ...&quot;(утв. приказом Министерства строительства и жилищно-коммунального хозяйства ...Статус: Действующий документ. Применяется для целей технического регламента (действ. c 08.05.2017)" w:history="1">
        <w:r>
          <w:rPr>
            <w:rStyle w:val="1111"/>
            <w:color w:val="0000aa"/>
            <w:sz w:val="28"/>
            <w:szCs w:val="28"/>
          </w:rPr>
          <w:t xml:space="preserve">СП 52.13330.2016</w:t>
        </w:r>
      </w:hyperlink>
      <w:r>
        <w:rPr>
          <w:sz w:val="28"/>
          <w:szCs w:val="28"/>
        </w:rPr>
        <w:t xml:space="preserve"> «Естественное и искусственное освещение. Актуализированная редакция СНиП 23-05-95*»;</w:t>
      </w:r>
      <w:r>
        <w:rPr>
          <w:sz w:val="28"/>
          <w:szCs w:val="28"/>
        </w:rPr>
      </w:r>
    </w:p>
    <w:p>
      <w:pPr>
        <w:ind w:firstLine="709"/>
        <w:jc w:val="both"/>
        <w:rPr>
          <w:sz w:val="28"/>
          <w:szCs w:val="28"/>
        </w:rPr>
      </w:pPr>
      <w:r/>
      <w:hyperlink r:id="rId28" w:tooltip="&quot;СП 484.1311500.2020 Системы противопожарной защиты. Системы пожарной ...&quot;(утв. приказом МЧС России от 31.07.2020 N 582)Применяется с 01.03.2021 ...Статус: Действующий документ. Применяется для целей технического регламента (действ. c 01.03.2021)" w:history="1">
        <w:r>
          <w:rPr>
            <w:rStyle w:val="1111"/>
            <w:color w:val="0000aa"/>
            <w:sz w:val="28"/>
            <w:szCs w:val="28"/>
          </w:rPr>
          <w:t xml:space="preserve">СП 484.1311500.2020</w:t>
        </w:r>
      </w:hyperlink>
      <w:r>
        <w:rPr>
          <w:sz w:val="28"/>
          <w:szCs w:val="28"/>
        </w:rPr>
        <w:t xml:space="preserve"> «Системы противопожарной защиты. Системы пожарной сигнализации и автоматизация систем противопожарной защиты. Нормы и правила проектирования»;</w:t>
      </w:r>
      <w:r>
        <w:rPr>
          <w:sz w:val="28"/>
          <w:szCs w:val="28"/>
        </w:rPr>
      </w:r>
    </w:p>
    <w:p>
      <w:pPr>
        <w:ind w:firstLine="709"/>
        <w:jc w:val="both"/>
        <w:rPr>
          <w:sz w:val="28"/>
          <w:szCs w:val="28"/>
        </w:rPr>
      </w:pPr>
      <w:r/>
      <w:hyperlink r:id="rId29" w:tooltip="&quot;СП 485.1311500.2020 Системы противопожарной защиты. Установки ...&quot;(утв. приказом МЧС России от 31.08.2020 N 628)Применяется с 01.03.2021 взамен ...Статус: Действующий документ. Применяется для целей технического регламента (действ. c 01.03.2021)" w:history="1">
        <w:r>
          <w:rPr>
            <w:rStyle w:val="1111"/>
            <w:color w:val="0000aa"/>
            <w:sz w:val="28"/>
            <w:szCs w:val="28"/>
          </w:rPr>
          <w:t xml:space="preserve">СП 485.1311500.2020</w:t>
        </w:r>
      </w:hyperlink>
      <w:r>
        <w:rPr>
          <w:sz w:val="28"/>
          <w:szCs w:val="28"/>
        </w:rPr>
        <w:t xml:space="preserve">. «Системы противопожарной защиты. Установки пожаротушения автоматические. Нормы и правила проектирования»;</w:t>
      </w:r>
      <w:r>
        <w:rPr>
          <w:sz w:val="28"/>
          <w:szCs w:val="28"/>
        </w:rPr>
      </w:r>
    </w:p>
    <w:p>
      <w:pPr>
        <w:ind w:firstLine="709"/>
        <w:jc w:val="both"/>
        <w:rPr>
          <w:sz w:val="28"/>
          <w:szCs w:val="28"/>
        </w:rPr>
      </w:pPr>
      <w:r/>
      <w:hyperlink r:id="rId30" w:tooltip="&quot;СП 10.13130.2020 Системы противопожарной защиты. Внутренний ...&quot;(утв. приказом МЧС России от 27.07.2020 N 559)Применяется с 27.01.2021 взамен СП ...Статус: Действующий документ. Применяется для целей технического регламента (действ. c 27.01.2021" w:history="1">
        <w:r>
          <w:rPr>
            <w:rStyle w:val="1111"/>
            <w:color w:val="0000aa"/>
            <w:sz w:val="28"/>
            <w:szCs w:val="28"/>
          </w:rPr>
          <w:t xml:space="preserve">СП 10.13130.2020</w:t>
        </w:r>
      </w:hyperlink>
      <w:r>
        <w:rPr>
          <w:sz w:val="28"/>
          <w:szCs w:val="28"/>
        </w:rPr>
        <w:t xml:space="preserve"> «Системы противопожарной защиты. Внутренний противопожарный водопровод. Нормы и правила проектирования».</w:t>
      </w:r>
      <w:r>
        <w:rPr>
          <w:sz w:val="28"/>
          <w:szCs w:val="28"/>
        </w:rPr>
      </w:r>
    </w:p>
    <w:p>
      <w:pPr>
        <w:ind w:firstLine="709"/>
        <w:jc w:val="both"/>
        <w:rPr>
          <w:sz w:val="28"/>
          <w:szCs w:val="28"/>
        </w:rPr>
      </w:pPr>
      <w:r>
        <w:rPr>
          <w:sz w:val="28"/>
          <w:szCs w:val="28"/>
        </w:rPr>
      </w:r>
      <w:r>
        <w:rPr>
          <w:sz w:val="28"/>
          <w:szCs w:val="28"/>
        </w:rPr>
      </w:r>
    </w:p>
    <w:p>
      <w:pPr>
        <w:rPr>
          <w:b/>
          <w:bCs/>
        </w:rPr>
        <w:outlineLvl w:val="0"/>
      </w:pPr>
      <w:r>
        <w:rPr>
          <w:b/>
          <w:bCs/>
        </w:rPr>
      </w:r>
      <w:r>
        <w:rPr>
          <w:b/>
          <w:bCs/>
        </w:rPr>
      </w:r>
    </w:p>
    <w:p>
      <w:pPr>
        <w:rPr>
          <w:b/>
          <w:bCs/>
        </w:rPr>
        <w:outlineLvl w:val="0"/>
      </w:pPr>
      <w:r>
        <w:rPr>
          <w:b/>
          <w:bCs/>
        </w:rPr>
      </w:r>
      <w:r>
        <w:rPr>
          <w:b/>
          <w:bCs/>
        </w:rPr>
      </w:r>
    </w:p>
    <w:p>
      <w:pPr>
        <w:pStyle w:val="1142"/>
        <w:numPr>
          <w:ilvl w:val="0"/>
          <w:numId w:val="50"/>
        </w:numPr>
        <w:rPr>
          <w:rFonts w:ascii="Times New Roman" w:hAnsi="Times New Roman" w:cs="Times New Roman"/>
          <w:b/>
          <w:bCs/>
          <w:sz w:val="32"/>
          <w:szCs w:val="32"/>
        </w:rPr>
        <w:outlineLvl w:val="0"/>
      </w:pPr>
      <w:r/>
      <w:bookmarkStart w:id="26" w:name="_Toc124499088"/>
      <w:r>
        <w:rPr>
          <w:rFonts w:ascii="Times New Roman" w:hAnsi="Times New Roman" w:cs="Times New Roman"/>
          <w:b/>
          <w:sz w:val="32"/>
          <w:szCs w:val="32"/>
        </w:rPr>
        <w:t xml:space="preserve">Термины</w:t>
      </w:r>
      <w:r>
        <w:rPr>
          <w:rFonts w:ascii="Times New Roman" w:hAnsi="Times New Roman" w:cs="Times New Roman"/>
          <w:b/>
          <w:bCs/>
          <w:sz w:val="32"/>
          <w:szCs w:val="32"/>
        </w:rPr>
        <w:t xml:space="preserve"> и определения. Принятые сокращения</w:t>
      </w:r>
      <w:bookmarkEnd w:id="25"/>
      <w:r/>
      <w:bookmarkEnd w:id="26"/>
      <w:r/>
      <w:r>
        <w:rPr>
          <w:rFonts w:ascii="Times New Roman" w:hAnsi="Times New Roman" w:cs="Times New Roman"/>
          <w:b/>
          <w:bCs/>
          <w:sz w:val="32"/>
          <w:szCs w:val="32"/>
        </w:rPr>
      </w:r>
    </w:p>
    <w:p>
      <w:pPr>
        <w:rPr>
          <w:b/>
          <w:bCs/>
        </w:rPr>
      </w:pPr>
      <w:r>
        <w:rPr>
          <w:b/>
          <w:bCs/>
        </w:rPr>
      </w:r>
      <w:r>
        <w:rPr>
          <w:b/>
          <w:bCs/>
        </w:rPr>
      </w:r>
    </w:p>
    <w:p>
      <w:pPr>
        <w:ind w:firstLine="709"/>
        <w:rPr>
          <w:b/>
          <w:bCs/>
        </w:rPr>
      </w:pPr>
      <w:r>
        <w:rPr>
          <w:b/>
          <w:bCs/>
        </w:rPr>
      </w:r>
      <w:r>
        <w:rPr>
          <w:b/>
          <w:bCs/>
        </w:rPr>
      </w:r>
    </w:p>
    <w:tbl>
      <w:tblPr>
        <w:tblW w:w="9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0A0" w:firstRow="1" w:lastRow="0" w:firstColumn="1" w:lastColumn="0" w:noHBand="0" w:noVBand="0"/>
      </w:tblPr>
      <w:tblGrid>
        <w:gridCol w:w="2956"/>
        <w:gridCol w:w="6650"/>
      </w:tblGrid>
      <w:tr>
        <w:tblPrEx/>
        <w:trPr>
          <w:jc w:val="center"/>
          <w:tblHeader/>
        </w:trPr>
        <w:tc>
          <w:tcPr>
            <w:tcW w:w="2956" w:type="dxa"/>
            <w:textDirection w:val="lrTb"/>
            <w:noWrap w:val="false"/>
          </w:tcPr>
          <w:p>
            <w:pPr>
              <w:numPr>
                <w:ilvl w:val="2"/>
                <w:numId w:val="0"/>
              </w:numPr>
              <w:ind w:right="-23"/>
              <w:jc w:val="center"/>
              <w:widowControl w:val="off"/>
              <w:tabs>
                <w:tab w:val="num" w:pos="700" w:leader="none"/>
              </w:tabs>
            </w:pPr>
            <w:r>
              <w:t xml:space="preserve">Термин</w:t>
            </w:r>
            <w:r/>
          </w:p>
        </w:tc>
        <w:tc>
          <w:tcPr>
            <w:tcW w:w="6650" w:type="dxa"/>
            <w:textDirection w:val="lrTb"/>
            <w:noWrap w:val="false"/>
          </w:tcPr>
          <w:p>
            <w:pPr>
              <w:numPr>
                <w:ilvl w:val="2"/>
                <w:numId w:val="0"/>
              </w:numPr>
              <w:ind w:right="-23" w:firstLine="34"/>
              <w:jc w:val="center"/>
              <w:widowControl w:val="off"/>
              <w:tabs>
                <w:tab w:val="num" w:pos="700" w:leader="none"/>
              </w:tabs>
            </w:pPr>
            <w:r>
              <w:t xml:space="preserve">Определение</w:t>
            </w:r>
            <w:r/>
          </w:p>
        </w:tc>
      </w:tr>
      <w:tr>
        <w:tblPrEx/>
        <w:trPr>
          <w:jc w:val="center"/>
        </w:trPr>
        <w:tc>
          <w:tcPr>
            <w:tcW w:w="2956" w:type="dxa"/>
            <w:textDirection w:val="lrTb"/>
            <w:noWrap w:val="false"/>
          </w:tcPr>
          <w:p>
            <w:pPr>
              <w:numPr>
                <w:ilvl w:val="2"/>
                <w:numId w:val="0"/>
              </w:numPr>
              <w:ind w:right="-23"/>
              <w:jc w:val="both"/>
              <w:widowControl w:val="off"/>
              <w:tabs>
                <w:tab w:val="num" w:pos="700" w:leader="none"/>
              </w:tabs>
            </w:pPr>
            <w:r>
              <w:t xml:space="preserve">Кабельная линия</w:t>
            </w:r>
            <w:r/>
          </w:p>
        </w:tc>
        <w:tc>
          <w:tcPr>
            <w:tcW w:w="6650" w:type="dxa"/>
            <w:textDirection w:val="lrTb"/>
            <w:noWrap w:val="false"/>
          </w:tcPr>
          <w:p>
            <w:pPr>
              <w:numPr>
                <w:ilvl w:val="2"/>
                <w:numId w:val="0"/>
              </w:numPr>
              <w:ind w:right="-23"/>
              <w:jc w:val="both"/>
              <w:widowControl w:val="off"/>
              <w:tabs>
                <w:tab w:val="num" w:pos="700" w:leader="none"/>
              </w:tabs>
            </w:pPr>
            <w:r>
              <w:t xml:space="preserve">Линия для передачи электроэнергии или ее импульсов, состоящая из одного или нескольких параллельных кабелей с соединительными, стопорными и концевыми муфтами (заделками) и крепежными деталями.</w:t>
            </w:r>
            <w:r/>
          </w:p>
        </w:tc>
      </w:tr>
      <w:tr>
        <w:tblPrEx/>
        <w:trPr>
          <w:jc w:val="center"/>
        </w:trPr>
        <w:tc>
          <w:tcPr>
            <w:tcW w:w="2956" w:type="dxa"/>
            <w:textDirection w:val="lrTb"/>
            <w:noWrap w:val="false"/>
          </w:tcPr>
          <w:p>
            <w:pPr>
              <w:numPr>
                <w:ilvl w:val="2"/>
                <w:numId w:val="0"/>
              </w:numPr>
              <w:ind w:right="-23"/>
              <w:jc w:val="both"/>
              <w:widowControl w:val="off"/>
              <w:tabs>
                <w:tab w:val="num" w:pos="700" w:leader="none"/>
              </w:tabs>
            </w:pPr>
            <w:r>
              <w:t xml:space="preserve">Кабельное сооружение</w:t>
            </w:r>
            <w:r/>
          </w:p>
        </w:tc>
        <w:tc>
          <w:tcPr>
            <w:tcW w:w="6650" w:type="dxa"/>
            <w:textDirection w:val="lrTb"/>
            <w:noWrap w:val="false"/>
          </w:tcPr>
          <w:p>
            <w:pPr>
              <w:numPr>
                <w:ilvl w:val="2"/>
                <w:numId w:val="0"/>
              </w:numPr>
              <w:ind w:right="-23" w:firstLine="34"/>
              <w:jc w:val="both"/>
              <w:widowControl w:val="off"/>
              <w:tabs>
                <w:tab w:val="num" w:pos="700" w:leader="none"/>
              </w:tabs>
            </w:pPr>
            <w:r>
              <w:t xml:space="preserve">Сооружение, специально предназначенное для размещения в нем кабелей</w:t>
            </w:r>
            <w:r>
              <w:t xml:space="preserve">, кабельных муфт, а также масло подпитывающих аппаратов и другого оборудования, предназначенного для обеспечения нормальной работы маслонаполненных кабельных линий. К кабельным сооружениям относятся: кабельные туннели, каналы, короба, блоки, шахты, этажи, </w:t>
            </w:r>
            <w:r>
              <w:t xml:space="preserve">двойные полы, кабельные эстакады, галереи, камеры, подпитывающие пункты.</w:t>
            </w:r>
            <w:r/>
          </w:p>
        </w:tc>
      </w:tr>
      <w:tr>
        <w:tblPrEx/>
        <w:trPr>
          <w:jc w:val="center"/>
        </w:trPr>
        <w:tc>
          <w:tcPr>
            <w:tcW w:w="2956" w:type="dxa"/>
            <w:textDirection w:val="lrTb"/>
            <w:noWrap w:val="false"/>
          </w:tcPr>
          <w:p>
            <w:pPr>
              <w:numPr>
                <w:ilvl w:val="2"/>
                <w:numId w:val="0"/>
              </w:numPr>
              <w:ind w:right="-23"/>
              <w:jc w:val="both"/>
              <w:widowControl w:val="off"/>
              <w:tabs>
                <w:tab w:val="num" w:pos="700" w:leader="none"/>
              </w:tabs>
            </w:pPr>
            <w:r>
              <w:t xml:space="preserve">Коммуникационный коллектор</w:t>
            </w:r>
            <w:r/>
          </w:p>
        </w:tc>
        <w:tc>
          <w:tcPr>
            <w:tcW w:w="6650" w:type="dxa"/>
            <w:textDirection w:val="lrTb"/>
            <w:noWrap w:val="false"/>
          </w:tcPr>
          <w:p>
            <w:pPr>
              <w:numPr>
                <w:ilvl w:val="2"/>
                <w:numId w:val="0"/>
              </w:numPr>
              <w:ind w:right="-23" w:firstLine="34"/>
              <w:jc w:val="both"/>
              <w:widowControl w:val="off"/>
              <w:tabs>
                <w:tab w:val="num" w:pos="700" w:leader="none"/>
              </w:tabs>
            </w:pPr>
            <w:r>
              <w:t xml:space="preserve">Протяженное проходное подземное сооружение, предназначенное для совместной прокладки и обслуживания инженерных коммуникаций, с внутренними инженерными системами, обеспечивающими его функционирование.</w:t>
            </w:r>
            <w:r/>
          </w:p>
        </w:tc>
      </w:tr>
      <w:tr>
        <w:tblPrEx/>
        <w:trPr>
          <w:jc w:val="center"/>
        </w:trPr>
        <w:tc>
          <w:tcPr>
            <w:tcW w:w="2956" w:type="dxa"/>
            <w:textDirection w:val="lrTb"/>
            <w:noWrap w:val="false"/>
          </w:tcPr>
          <w:p>
            <w:pPr>
              <w:numPr>
                <w:ilvl w:val="2"/>
                <w:numId w:val="0"/>
              </w:numPr>
              <w:ind w:right="-23"/>
              <w:widowControl w:val="off"/>
              <w:tabs>
                <w:tab w:val="num" w:pos="700" w:leader="none"/>
              </w:tabs>
            </w:pPr>
            <w:r>
              <w:t xml:space="preserve">Объект</w:t>
            </w:r>
            <w:r/>
          </w:p>
        </w:tc>
        <w:tc>
          <w:tcPr>
            <w:tcW w:w="6650" w:type="dxa"/>
            <w:textDirection w:val="lrTb"/>
            <w:noWrap w:val="false"/>
          </w:tcPr>
          <w:p>
            <w:pPr>
              <w:numPr>
                <w:ilvl w:val="2"/>
                <w:numId w:val="0"/>
              </w:numPr>
              <w:ind w:right="-23"/>
              <w:widowControl w:val="off"/>
              <w:tabs>
                <w:tab w:val="num" w:pos="700" w:leader="none"/>
              </w:tabs>
            </w:pPr>
            <w:r>
              <w:t xml:space="preserve">Огороженная территория со всеми находящимися на ней зданиями, сооружениями, строениями, технологическими установками и оборудованием</w:t>
            </w:r>
            <w:r/>
          </w:p>
        </w:tc>
      </w:tr>
      <w:tr>
        <w:tblPrEx/>
        <w:trPr>
          <w:jc w:val="center"/>
        </w:trPr>
        <w:tc>
          <w:tcPr>
            <w:tcW w:w="2956" w:type="dxa"/>
            <w:vAlign w:val="center"/>
            <w:textDirection w:val="lrTb"/>
            <w:noWrap w:val="false"/>
          </w:tcPr>
          <w:p>
            <w:pPr>
              <w:numPr>
                <w:ilvl w:val="2"/>
                <w:numId w:val="0"/>
              </w:numPr>
              <w:ind w:right="-23"/>
              <w:widowControl w:val="off"/>
              <w:tabs>
                <w:tab w:val="num" w:pos="700" w:leader="none"/>
              </w:tabs>
            </w:pPr>
            <w:r>
              <w:rPr>
                <w:bCs/>
              </w:rPr>
              <w:t xml:space="preserve">Объект защиты</w:t>
            </w:r>
            <w:r/>
          </w:p>
        </w:tc>
        <w:tc>
          <w:tcPr>
            <w:tcW w:w="6650" w:type="dxa"/>
            <w:textDirection w:val="lrTb"/>
            <w:noWrap w:val="false"/>
          </w:tcPr>
          <w:p>
            <w:pPr>
              <w:numPr>
                <w:ilvl w:val="2"/>
                <w:numId w:val="0"/>
              </w:numPr>
              <w:ind w:right="-23"/>
              <w:widowControl w:val="off"/>
              <w:tabs>
                <w:tab w:val="num" w:pos="700" w:leader="none"/>
              </w:tabs>
            </w:pPr>
            <w:r>
              <w:t xml:space="preserve">Продукция, в том числе имущество граждан или юридических лиц, государственное или муниципальное имущество (включая объекты, расположенные на территориях поселений, а также</w:t>
            </w:r>
            <w:r>
              <w:t xml:space="preserve"> здания, сооружения, транспортные средства, технологические установки, оборудование, агрегаты, изделия и иное имущество), к которой установлены или должны быть установлены требования пожарной безопасности для предотвращения пожара и защиты людей при пожаре</w:t>
            </w:r>
            <w:r/>
          </w:p>
          <w:p>
            <w:pPr>
              <w:numPr>
                <w:ilvl w:val="2"/>
                <w:numId w:val="0"/>
              </w:numPr>
              <w:ind w:right="-23"/>
              <w:widowControl w:val="off"/>
              <w:tabs>
                <w:tab w:val="num" w:pos="700" w:leader="none"/>
              </w:tabs>
              <w:rPr>
                <w:sz w:val="16"/>
                <w:szCs w:val="16"/>
              </w:rPr>
            </w:pPr>
            <w:r>
              <w:rPr>
                <w:sz w:val="16"/>
                <w:szCs w:val="16"/>
              </w:rPr>
            </w:r>
            <w:r>
              <w:rPr>
                <w:sz w:val="16"/>
                <w:szCs w:val="16"/>
              </w:rPr>
            </w:r>
          </w:p>
        </w:tc>
      </w:tr>
      <w:tr>
        <w:tblPrEx/>
        <w:trPr>
          <w:jc w:val="center"/>
        </w:trPr>
        <w:tc>
          <w:tcPr>
            <w:tcW w:w="2956" w:type="dxa"/>
            <w:textDirection w:val="lrTb"/>
            <w:noWrap w:val="false"/>
          </w:tcPr>
          <w:p>
            <w:r>
              <w:t xml:space="preserve">Оперативная карточка действий персонала при пожаре</w:t>
            </w:r>
            <w:r/>
          </w:p>
        </w:tc>
        <w:tc>
          <w:tcPr>
            <w:tcW w:w="6650" w:type="dxa"/>
            <w:textDirection w:val="lrTb"/>
            <w:noWrap w:val="false"/>
          </w:tcPr>
          <w:p>
            <w:r>
              <w:t xml:space="preserve">Документ, содержащий основные данные об объекте и путях эвакуации, ме</w:t>
            </w:r>
            <w:r>
              <w:t xml:space="preserve">роприятиях по подготовке объекта к тушению пожара, схемах движения, заземления и расстановки пожарной техники, позволяющий руководителю тушения пожара быстро и правильно организовать действия подразделений пожарной охраны по спасанию людей и тушению пожара</w:t>
            </w:r>
            <w:r/>
          </w:p>
        </w:tc>
      </w:tr>
      <w:tr>
        <w:tblPrEx/>
        <w:trPr>
          <w:jc w:val="center"/>
        </w:trPr>
        <w:tc>
          <w:tcPr>
            <w:tcW w:w="2956" w:type="dxa"/>
            <w:textDirection w:val="lrTb"/>
            <w:noWrap w:val="false"/>
          </w:tcPr>
          <w:p>
            <w:pPr>
              <w:numPr>
                <w:ilvl w:val="2"/>
                <w:numId w:val="0"/>
              </w:numPr>
              <w:ind w:right="-23"/>
              <w:widowControl w:val="off"/>
              <w:tabs>
                <w:tab w:val="num" w:pos="700" w:leader="none"/>
              </w:tabs>
              <w:rPr>
                <w:rStyle w:val="1264"/>
                <w:rFonts w:ascii="Times New Roman" w:hAnsi="Times New Roman" w:cs="Times New Roman"/>
                <w:sz w:val="24"/>
                <w:szCs w:val="24"/>
              </w:rPr>
            </w:pPr>
            <w:r>
              <w:rPr>
                <w:bCs/>
              </w:rPr>
              <w:t xml:space="preserve">Пламя</w:t>
            </w:r>
            <w:r>
              <w:rPr>
                <w:rStyle w:val="1264"/>
                <w:rFonts w:ascii="Times New Roman" w:hAnsi="Times New Roman" w:cs="Times New Roman"/>
                <w:sz w:val="24"/>
                <w:szCs w:val="24"/>
              </w:rPr>
            </w:r>
          </w:p>
        </w:tc>
        <w:tc>
          <w:tcPr>
            <w:tcW w:w="6650" w:type="dxa"/>
            <w:textDirection w:val="lrTb"/>
            <w:noWrap w:val="false"/>
          </w:tcPr>
          <w:p>
            <w:pPr>
              <w:pStyle w:val="1286"/>
              <w:ind w:right="10" w:firstLine="0"/>
              <w:jc w:val="left"/>
              <w:spacing w:line="240" w:lineRule="auto"/>
              <w:widowControl/>
              <w:tabs>
                <w:tab w:val="left" w:pos="0" w:leader="none"/>
              </w:tabs>
              <w:rPr>
                <w:rFonts w:ascii="Times New Roman" w:hAnsi="Times New Roman"/>
                <w:bCs/>
              </w:rPr>
            </w:pPr>
            <w:r>
              <w:rPr>
                <w:rFonts w:ascii="Times New Roman" w:hAnsi="Times New Roman"/>
                <w:bCs/>
              </w:rPr>
              <w:t xml:space="preserve">Зона горения в газовой фазе с видимым излучением</w:t>
            </w:r>
            <w:r>
              <w:rPr>
                <w:rFonts w:ascii="Times New Roman" w:hAnsi="Times New Roman"/>
                <w:bCs/>
              </w:rPr>
            </w:r>
          </w:p>
          <w:p>
            <w:pPr>
              <w:pStyle w:val="1286"/>
              <w:ind w:right="10" w:firstLine="0"/>
              <w:jc w:val="left"/>
              <w:spacing w:line="240" w:lineRule="auto"/>
              <w:widowControl/>
              <w:tabs>
                <w:tab w:val="left" w:pos="0" w:leader="none"/>
              </w:tabs>
              <w:rPr>
                <w:rStyle w:val="1264"/>
                <w:rFonts w:ascii="Times New Roman" w:hAnsi="Times New Roman" w:cs="Times New Roman"/>
                <w:sz w:val="24"/>
                <w:szCs w:val="24"/>
              </w:rPr>
            </w:pPr>
            <w:r>
              <w:rPr>
                <w:rFonts w:ascii="Times New Roman" w:hAnsi="Times New Roman" w:cs="Times New Roman"/>
                <w:sz w:val="24"/>
                <w:szCs w:val="24"/>
              </w:rPr>
            </w:r>
            <w:r>
              <w:rPr>
                <w:rStyle w:val="1264"/>
                <w:rFonts w:ascii="Times New Roman" w:hAnsi="Times New Roman" w:cs="Times New Roman"/>
                <w:sz w:val="24"/>
                <w:szCs w:val="24"/>
              </w:rPr>
            </w:r>
          </w:p>
        </w:tc>
      </w:tr>
      <w:tr>
        <w:tblPrEx/>
        <w:trPr>
          <w:jc w:val="center"/>
        </w:trPr>
        <w:tc>
          <w:tcPr>
            <w:tcW w:w="2956" w:type="dxa"/>
            <w:textDirection w:val="lrTb"/>
            <w:noWrap w:val="false"/>
          </w:tcPr>
          <w:p>
            <w:pPr>
              <w:numPr>
                <w:ilvl w:val="2"/>
                <w:numId w:val="0"/>
              </w:numPr>
              <w:ind w:right="-23"/>
              <w:widowControl w:val="off"/>
              <w:tabs>
                <w:tab w:val="num" w:pos="700" w:leader="none"/>
              </w:tabs>
              <w:rPr>
                <w:bCs/>
              </w:rPr>
            </w:pPr>
            <w:r>
              <w:rPr>
                <w:bCs/>
              </w:rPr>
              <w:t xml:space="preserve">Пожароопасный участок ВЛ (ПС)</w:t>
            </w:r>
            <w:r>
              <w:rPr>
                <w:bCs/>
              </w:rPr>
            </w:r>
          </w:p>
        </w:tc>
        <w:tc>
          <w:tcPr>
            <w:tcW w:w="6650" w:type="dxa"/>
            <w:textDirection w:val="lrTb"/>
            <w:noWrap w:val="false"/>
          </w:tcPr>
          <w:p>
            <w:pPr>
              <w:pStyle w:val="1286"/>
              <w:ind w:right="10" w:firstLine="0"/>
              <w:jc w:val="left"/>
              <w:spacing w:line="240" w:lineRule="auto"/>
              <w:widowControl/>
              <w:tabs>
                <w:tab w:val="left" w:pos="0" w:leader="none"/>
              </w:tabs>
              <w:rPr>
                <w:rFonts w:ascii="Times New Roman" w:hAnsi="Times New Roman"/>
                <w:bCs/>
              </w:rPr>
            </w:pPr>
            <w:r>
              <w:rPr>
                <w:rFonts w:ascii="Times New Roman" w:hAnsi="Times New Roman"/>
              </w:rPr>
              <w:t xml:space="preserve">Участок ВЛ (ПС), </w:t>
            </w:r>
            <w:r>
              <w:rPr>
                <w:rFonts w:ascii="Times New Roman" w:hAnsi="Times New Roman"/>
              </w:rPr>
              <w:t xml:space="preserve">подверженный угрозе возникновения лесных пожаров и других ландшафтных (природных) пожаров, расположенный в лесных массивах, в местах залежей торфа и других местах с открыто хранящимися горючими и легковоспламеняющимися веществами и материалами, наличием су</w:t>
            </w:r>
            <w:r>
              <w:rPr>
                <w:rFonts w:ascii="Times New Roman" w:hAnsi="Times New Roman"/>
              </w:rPr>
              <w:t xml:space="preserve">хой растительности, в том числе проходящий по сельскохозяйственным угодьям), и (или) находящийся в зоне произошедших в течение последних 5 лет ландшафтных (природных) пожаров, в результате которых произошло повреждение элементов ВЛ и (или) оборудования ПС </w:t>
            </w:r>
            <w:r>
              <w:rPr>
                <w:rFonts w:ascii="Times New Roman" w:hAnsi="Times New Roman"/>
                <w:bCs/>
              </w:rPr>
            </w:r>
          </w:p>
        </w:tc>
      </w:tr>
      <w:tr>
        <w:tblPrEx/>
        <w:trPr>
          <w:jc w:val="center"/>
        </w:trPr>
        <w:tc>
          <w:tcPr>
            <w:tcW w:w="2956" w:type="dxa"/>
            <w:textDirection w:val="lrTb"/>
            <w:noWrap w:val="false"/>
          </w:tcPr>
          <w:p>
            <w:pPr>
              <w:numPr>
                <w:ilvl w:val="2"/>
                <w:numId w:val="0"/>
              </w:numPr>
              <w:ind w:right="-23"/>
              <w:widowControl w:val="off"/>
              <w:tabs>
                <w:tab w:val="num" w:pos="700" w:leader="none"/>
              </w:tabs>
              <w:rPr>
                <w:bCs/>
              </w:rPr>
            </w:pPr>
            <w:r>
              <w:rPr>
                <w:bCs/>
              </w:rPr>
              <w:t xml:space="preserve">Противопожарное водоснабжение </w:t>
            </w:r>
            <w:r>
              <w:rPr>
                <w:bCs/>
              </w:rPr>
            </w:r>
          </w:p>
        </w:tc>
        <w:tc>
          <w:tcPr>
            <w:tcW w:w="6650" w:type="dxa"/>
            <w:textDirection w:val="lrTb"/>
            <w:noWrap w:val="false"/>
          </w:tcPr>
          <w:p>
            <w:pPr>
              <w:numPr>
                <w:ilvl w:val="2"/>
                <w:numId w:val="0"/>
              </w:numPr>
              <w:ind w:right="-23"/>
              <w:widowControl w:val="off"/>
              <w:tabs>
                <w:tab w:val="num" w:pos="700" w:leader="none"/>
              </w:tabs>
              <w:rPr>
                <w:bCs/>
              </w:rPr>
            </w:pPr>
            <w:r>
              <w:rPr>
                <w:bCs/>
              </w:rPr>
              <w:t xml:space="preserve">Совокупность инженерно-технических средств и сооружений, обеспечивающих подачу воды для тушения пожара</w:t>
            </w:r>
            <w:r>
              <w:rPr>
                <w:bCs/>
              </w:rPr>
            </w:r>
          </w:p>
          <w:p>
            <w:pPr>
              <w:numPr>
                <w:ilvl w:val="2"/>
                <w:numId w:val="0"/>
              </w:numPr>
              <w:ind w:right="-23"/>
              <w:widowControl w:val="off"/>
              <w:tabs>
                <w:tab w:val="num" w:pos="700" w:leader="none"/>
              </w:tabs>
            </w:pPr>
            <w:r/>
            <w:r/>
          </w:p>
        </w:tc>
      </w:tr>
      <w:tr>
        <w:tblPrEx/>
        <w:trPr>
          <w:jc w:val="center"/>
        </w:trPr>
        <w:tc>
          <w:tcPr>
            <w:tcW w:w="2956" w:type="dxa"/>
            <w:textDirection w:val="lrTb"/>
            <w:noWrap w:val="false"/>
          </w:tcPr>
          <w:p>
            <w:pPr>
              <w:numPr>
                <w:ilvl w:val="2"/>
                <w:numId w:val="0"/>
              </w:numPr>
              <w:ind w:right="-23"/>
              <w:widowControl w:val="off"/>
              <w:tabs>
                <w:tab w:val="num" w:pos="700" w:leader="none"/>
              </w:tabs>
              <w:rPr>
                <w:bCs/>
              </w:rPr>
            </w:pPr>
            <w:r>
              <w:rPr>
                <w:bCs/>
              </w:rPr>
              <w:t xml:space="preserve">Противопожарный режим</w:t>
            </w:r>
            <w:r>
              <w:rPr>
                <w:bCs/>
              </w:rPr>
            </w:r>
          </w:p>
        </w:tc>
        <w:tc>
          <w:tcPr>
            <w:tcW w:w="6650" w:type="dxa"/>
            <w:textDirection w:val="lrTb"/>
            <w:noWrap w:val="false"/>
          </w:tcPr>
          <w:p>
            <w:pPr>
              <w:numPr>
                <w:ilvl w:val="2"/>
                <w:numId w:val="0"/>
              </w:numPr>
              <w:ind w:right="-23"/>
              <w:widowControl w:val="off"/>
              <w:tabs>
                <w:tab w:val="num" w:pos="700" w:leader="none"/>
              </w:tabs>
              <w:rPr>
                <w:lang w:eastAsia="en-US"/>
              </w:rPr>
            </w:pPr>
            <w:r>
              <w:rPr>
                <w:lang w:eastAsia="en-US"/>
              </w:rPr>
              <w:t xml:space="preserve">Совокупность установленных нормативными правовыми актами Российской Федерации, нормативными правовыми актами субъектов Российской Федерации и муниципальными правовыми актами по пожарной безопасности требован</w:t>
            </w:r>
            <w:r>
              <w:rPr>
                <w:lang w:eastAsia="en-US"/>
              </w:rPr>
              <w:t xml:space="preserve">ий пожарной безопасности, определяющих правила поведения людей, порядок организации производства и (или) содержания территорий, земельных участков, зданий, сооружений, помещений организаций и других объектов защиты в целях обеспечения пожарной безопасности</w:t>
            </w:r>
            <w:r>
              <w:rPr>
                <w:lang w:eastAsia="en-US"/>
              </w:rPr>
            </w:r>
          </w:p>
          <w:p>
            <w:pPr>
              <w:numPr>
                <w:ilvl w:val="2"/>
                <w:numId w:val="0"/>
              </w:numPr>
              <w:ind w:right="-23"/>
              <w:widowControl w:val="off"/>
              <w:tabs>
                <w:tab w:val="num" w:pos="700" w:leader="none"/>
              </w:tabs>
              <w:rPr>
                <w:bCs/>
                <w:sz w:val="16"/>
                <w:szCs w:val="16"/>
              </w:rPr>
            </w:pPr>
            <w:r>
              <w:rPr>
                <w:bCs/>
                <w:sz w:val="16"/>
                <w:szCs w:val="16"/>
              </w:rPr>
            </w:r>
            <w:r>
              <w:rPr>
                <w:bCs/>
                <w:sz w:val="16"/>
                <w:szCs w:val="16"/>
              </w:rPr>
            </w:r>
          </w:p>
        </w:tc>
      </w:tr>
      <w:tr>
        <w:tblPrEx/>
        <w:trPr>
          <w:jc w:val="center"/>
        </w:trPr>
        <w:tc>
          <w:tcPr>
            <w:tcW w:w="2956" w:type="dxa"/>
            <w:textDirection w:val="lrTb"/>
            <w:noWrap w:val="false"/>
          </w:tcPr>
          <w:p>
            <w:pPr>
              <w:numPr>
                <w:ilvl w:val="2"/>
                <w:numId w:val="0"/>
              </w:numPr>
              <w:ind w:right="-23"/>
              <w:widowControl w:val="off"/>
              <w:tabs>
                <w:tab w:val="num" w:pos="700" w:leader="none"/>
              </w:tabs>
              <w:rPr>
                <w:bCs/>
              </w:rPr>
            </w:pPr>
            <w:r>
              <w:rPr>
                <w:bCs/>
              </w:rPr>
              <w:t xml:space="preserve">Руководитель тушения пожара</w:t>
            </w:r>
            <w:r>
              <w:rPr>
                <w:bCs/>
              </w:rPr>
            </w:r>
          </w:p>
        </w:tc>
        <w:tc>
          <w:tcPr>
            <w:tcW w:w="6650" w:type="dxa"/>
            <w:textDirection w:val="lrTb"/>
            <w:noWrap w:val="false"/>
          </w:tcPr>
          <w:p>
            <w:pPr>
              <w:numPr>
                <w:ilvl w:val="2"/>
                <w:numId w:val="0"/>
              </w:numPr>
              <w:ind w:right="-23"/>
              <w:widowControl w:val="off"/>
              <w:tabs>
                <w:tab w:val="num" w:pos="700" w:leader="none"/>
              </w:tabs>
              <w:rPr>
                <w:lang w:eastAsia="en-US"/>
              </w:rPr>
            </w:pPr>
            <w:r>
              <w:rPr>
                <w:lang w:eastAsia="en-US"/>
              </w:rPr>
              <w:t xml:space="preserve">Прибывшее на пожар старшее оперативное должностное лицом пожарной охраны (если не установлено иное), которое управляет на принципах единоначалия личным составом пожарной охраны, участвующим в тушении пожара, а также привлеченными к тушению пожара силами.</w:t>
            </w:r>
            <w:r>
              <w:rPr>
                <w:lang w:eastAsia="en-US"/>
              </w:rPr>
            </w:r>
          </w:p>
        </w:tc>
      </w:tr>
      <w:tr>
        <w:tblPrEx/>
        <w:trPr>
          <w:jc w:val="center"/>
        </w:trPr>
        <w:tc>
          <w:tcPr>
            <w:tcW w:w="2956" w:type="dxa"/>
            <w:textDirection w:val="lrTb"/>
            <w:noWrap w:val="false"/>
          </w:tcPr>
          <w:p>
            <w:pPr>
              <w:numPr>
                <w:ilvl w:val="2"/>
                <w:numId w:val="0"/>
              </w:numPr>
              <w:ind w:right="-23"/>
              <w:widowControl w:val="off"/>
              <w:tabs>
                <w:tab w:val="num" w:pos="700" w:leader="none"/>
              </w:tabs>
            </w:pPr>
            <w:r>
              <w:t xml:space="preserve">Система обеспечения пожарной безопасности</w:t>
            </w:r>
            <w:r/>
          </w:p>
        </w:tc>
        <w:tc>
          <w:tcPr>
            <w:tcW w:w="6650" w:type="dxa"/>
            <w:textDirection w:val="lrTb"/>
            <w:noWrap w:val="false"/>
          </w:tcPr>
          <w:p>
            <w:pPr>
              <w:pStyle w:val="1143"/>
            </w:pPr>
            <w:r>
              <w:t xml:space="preserve">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w:t>
            </w:r>
            <w:r/>
          </w:p>
        </w:tc>
      </w:tr>
      <w:tr>
        <w:tblPrEx/>
        <w:trPr>
          <w:jc w:val="center"/>
        </w:trPr>
        <w:tc>
          <w:tcPr>
            <w:tcW w:w="2956" w:type="dxa"/>
            <w:textDirection w:val="lrTb"/>
            <w:noWrap w:val="false"/>
          </w:tcPr>
          <w:p>
            <w:pPr>
              <w:numPr>
                <w:ilvl w:val="2"/>
                <w:numId w:val="0"/>
              </w:numPr>
              <w:ind w:right="-23"/>
              <w:widowControl w:val="off"/>
              <w:tabs>
                <w:tab w:val="num" w:pos="700" w:leader="none"/>
              </w:tabs>
            </w:pPr>
            <w:r>
              <w:rPr>
                <w:lang w:val="en-US"/>
              </w:rPr>
              <w:t xml:space="preserve">C</w:t>
            </w:r>
            <w:r>
              <w:t xml:space="preserve">труктурное подразделение</w:t>
            </w:r>
            <w:r/>
          </w:p>
        </w:tc>
        <w:tc>
          <w:tcPr>
            <w:tcW w:w="6650" w:type="dxa"/>
            <w:textDirection w:val="lrTb"/>
            <w:noWrap w:val="false"/>
          </w:tcPr>
          <w:p>
            <w:pPr>
              <w:numPr>
                <w:ilvl w:val="2"/>
                <w:numId w:val="0"/>
              </w:numPr>
              <w:ind w:right="-23"/>
              <w:widowControl w:val="off"/>
              <w:tabs>
                <w:tab w:val="num" w:pos="700" w:leader="none"/>
              </w:tabs>
            </w:pPr>
            <w:r>
              <w:t xml:space="preserve">Производственное подразделение, за которым закреплены  определенные функции по обес</w:t>
            </w:r>
            <w:r>
              <w:t xml:space="preserve">печению, организации и непосредственному обслуживанию, эксплуатации и ремонту электроустановок, электрооборудования, машин и  механизмов, содержанию зданий и сооружений (служба, отдел, группа подстанций, участок, лаборатория, мастерская, цех, склад и т.п.)</w:t>
            </w:r>
            <w:r/>
          </w:p>
        </w:tc>
      </w:tr>
      <w:tr>
        <w:tblPrEx/>
        <w:trPr>
          <w:jc w:val="center"/>
        </w:trPr>
        <w:tc>
          <w:tcPr>
            <w:tcW w:w="2956" w:type="dxa"/>
            <w:textDirection w:val="lrTb"/>
            <w:noWrap w:val="false"/>
          </w:tcPr>
          <w:p>
            <w:pPr>
              <w:numPr>
                <w:ilvl w:val="2"/>
                <w:numId w:val="0"/>
              </w:numPr>
              <w:ind w:right="-23"/>
              <w:widowControl w:val="off"/>
              <w:tabs>
                <w:tab w:val="num" w:pos="700" w:leader="none"/>
              </w:tabs>
            </w:pPr>
            <w:r>
              <w:t xml:space="preserve">Установка (система) противопожарной защиты</w:t>
            </w:r>
            <w:r/>
          </w:p>
        </w:tc>
        <w:tc>
          <w:tcPr>
            <w:tcW w:w="6650" w:type="dxa"/>
            <w:textDirection w:val="lrTb"/>
            <w:noWrap w:val="false"/>
          </w:tcPr>
          <w:p>
            <w:pPr>
              <w:numPr>
                <w:ilvl w:val="2"/>
                <w:numId w:val="0"/>
              </w:numPr>
              <w:ind w:right="-23"/>
              <w:widowControl w:val="off"/>
              <w:tabs>
                <w:tab w:val="num" w:pos="700" w:leader="none"/>
              </w:tabs>
            </w:pPr>
            <w:r>
              <w:t xml:space="preserve">Техническое средство (комплекс технических средств) пожарной автоматики, направленное на защиту человека и имущества от воздействия опасных факторов пожара.</w:t>
            </w:r>
            <w:r/>
          </w:p>
          <w:p>
            <w:pPr>
              <w:numPr>
                <w:ilvl w:val="2"/>
                <w:numId w:val="0"/>
              </w:numPr>
              <w:ind w:right="-23"/>
              <w:widowControl w:val="off"/>
              <w:tabs>
                <w:tab w:val="num" w:pos="700" w:leader="none"/>
              </w:tabs>
            </w:pPr>
            <w:r>
              <w:rPr>
                <w:i/>
              </w:rPr>
              <w:t xml:space="preserve">Понятия «установка противопожарной защиты» и «система противопожарной защиты» в рамках настоящих Руководящих указаний являются идентичными.</w:t>
            </w:r>
            <w:r/>
          </w:p>
        </w:tc>
      </w:tr>
      <w:tr>
        <w:tblPrEx/>
        <w:trPr>
          <w:jc w:val="center"/>
        </w:trPr>
        <w:tc>
          <w:tcPr>
            <w:tcBorders>
              <w:top w:val="single" w:color="000000" w:sz="4" w:space="0"/>
              <w:left w:val="single" w:color="000000" w:sz="4" w:space="0"/>
              <w:bottom w:val="single" w:color="000000" w:sz="4" w:space="0"/>
              <w:right w:val="single" w:color="000000" w:sz="4" w:space="0"/>
            </w:tcBorders>
            <w:tcW w:w="2956" w:type="dxa"/>
            <w:textDirection w:val="lrTb"/>
            <w:noWrap w:val="false"/>
          </w:tcPr>
          <w:p>
            <w:pPr>
              <w:pStyle w:val="1142"/>
              <w:ind w:left="0"/>
              <w:tabs>
                <w:tab w:val="left" w:pos="851" w:leader="none"/>
                <w:tab w:val="left" w:pos="1134" w:leader="none"/>
              </w:tabs>
              <w:rPr>
                <w:rFonts w:ascii="Times New Roman" w:hAnsi="Times New Roman" w:cs="Times New Roman"/>
                <w:sz w:val="24"/>
                <w:szCs w:val="24"/>
                <w:highlight w:val="yellow"/>
              </w:rPr>
            </w:pPr>
            <w:r>
              <w:rPr>
                <w:rFonts w:ascii="Times New Roman" w:hAnsi="Times New Roman" w:cs="Times New Roman"/>
                <w:sz w:val="24"/>
                <w:szCs w:val="24"/>
              </w:rPr>
              <w:t xml:space="preserve">Филиал </w:t>
            </w:r>
            <w:r>
              <w:rPr>
                <w:rFonts w:ascii="Times New Roman" w:hAnsi="Times New Roman" w:cs="Times New Roman"/>
                <w:sz w:val="24"/>
                <w:szCs w:val="24"/>
                <w:highlight w:val="yellow"/>
              </w:rPr>
            </w:r>
          </w:p>
        </w:tc>
        <w:tc>
          <w:tcPr>
            <w:tcBorders>
              <w:top w:val="single" w:color="000000" w:sz="4" w:space="0"/>
              <w:left w:val="single" w:color="000000" w:sz="4" w:space="0"/>
              <w:bottom w:val="single" w:color="000000" w:sz="4" w:space="0"/>
              <w:right w:val="single" w:color="000000" w:sz="4" w:space="0"/>
            </w:tcBorders>
            <w:tcW w:w="6650" w:type="dxa"/>
            <w:textDirection w:val="lrTb"/>
            <w:noWrap w:val="false"/>
          </w:tcPr>
          <w:p>
            <w:pPr>
              <w:pStyle w:val="1142"/>
              <w:ind w:left="0"/>
              <w:tabs>
                <w:tab w:val="left" w:pos="851"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Филиал ПАО «Россети» - Магистральные электрические сети, </w:t>
            </w:r>
            <w:r>
              <w:rPr>
                <w:rFonts w:ascii="Times New Roman" w:hAnsi="Times New Roman" w:cs="Times New Roman"/>
                <w:sz w:val="24"/>
                <w:szCs w:val="24"/>
              </w:rPr>
            </w:r>
          </w:p>
          <w:p>
            <w:pPr>
              <w:pStyle w:val="1142"/>
              <w:ind w:left="0"/>
              <w:tabs>
                <w:tab w:val="left" w:pos="851"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филиал ПАО «Россети» - Предприятие магистральных электрических сетей </w:t>
            </w:r>
            <w:r>
              <w:rPr>
                <w:rFonts w:ascii="Times New Roman" w:hAnsi="Times New Roman" w:cs="Times New Roman"/>
                <w:sz w:val="24"/>
                <w:szCs w:val="24"/>
              </w:rPr>
            </w:r>
          </w:p>
        </w:tc>
      </w:tr>
      <w:tr>
        <w:tblPrEx/>
        <w:trPr>
          <w:jc w:val="center"/>
        </w:trPr>
        <w:tc>
          <w:tcPr>
            <w:tcW w:w="2956" w:type="dxa"/>
            <w:textDirection w:val="lrTb"/>
            <w:noWrap w:val="false"/>
          </w:tcPr>
          <w:p>
            <w:pPr>
              <w:numPr>
                <w:ilvl w:val="2"/>
                <w:numId w:val="0"/>
              </w:numPr>
              <w:ind w:right="-23"/>
              <w:widowControl w:val="off"/>
              <w:tabs>
                <w:tab w:val="num" w:pos="700" w:leader="none"/>
              </w:tabs>
            </w:pPr>
            <w:r>
              <w:t xml:space="preserve">Энергообъект</w:t>
            </w:r>
            <w:r/>
          </w:p>
          <w:p>
            <w:pPr>
              <w:numPr>
                <w:ilvl w:val="2"/>
                <w:numId w:val="0"/>
              </w:numPr>
              <w:ind w:right="-23"/>
              <w:widowControl w:val="off"/>
              <w:tabs>
                <w:tab w:val="num" w:pos="700" w:leader="none"/>
              </w:tabs>
            </w:pPr>
            <w:r>
              <w:t xml:space="preserve">(энергетический объект)</w:t>
            </w:r>
            <w:r/>
          </w:p>
        </w:tc>
        <w:tc>
          <w:tcPr>
            <w:tcW w:w="6650" w:type="dxa"/>
            <w:textDirection w:val="lrTb"/>
            <w:noWrap w:val="false"/>
          </w:tcPr>
          <w:p>
            <w:pPr>
              <w:numPr>
                <w:ilvl w:val="2"/>
                <w:numId w:val="0"/>
              </w:numPr>
              <w:ind w:right="-23"/>
              <w:widowControl w:val="off"/>
              <w:tabs>
                <w:tab w:val="num" w:pos="700" w:leader="none"/>
              </w:tabs>
              <w:rPr>
                <w:b/>
              </w:rPr>
            </w:pPr>
            <w:r>
              <w:t xml:space="preserve">Имущественный объект (электростанции, котельные, электрические и тепловые сети), связанные общностью режима работы и имеющие централизованное оперативно-диспетчерское управление, являющиеся основными технологическими звеньями энергосистемы.</w:t>
            </w:r>
            <w:r>
              <w:rPr>
                <w:b/>
              </w:rPr>
            </w:r>
          </w:p>
        </w:tc>
      </w:tr>
    </w:tbl>
    <w:p>
      <w:r/>
      <w:r/>
    </w:p>
    <w:tbl>
      <w:tblPr>
        <w:tblW w:w="9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0A0" w:firstRow="1" w:lastRow="0" w:firstColumn="1" w:lastColumn="0" w:noHBand="0" w:noVBand="0"/>
      </w:tblPr>
      <w:tblGrid>
        <w:gridCol w:w="2956"/>
        <w:gridCol w:w="6650"/>
      </w:tblGrid>
      <w:tr>
        <w:tblPrEx/>
        <w:trPr>
          <w:jc w:val="center"/>
          <w:tblHeader/>
        </w:trPr>
        <w:tc>
          <w:tcPr>
            <w:gridSpan w:val="2"/>
            <w:tcW w:w="9606" w:type="dxa"/>
            <w:textDirection w:val="lrTb"/>
            <w:noWrap w:val="false"/>
          </w:tcPr>
          <w:p>
            <w:pPr>
              <w:jc w:val="both"/>
            </w:pPr>
            <w:r>
              <w:rPr>
                <w:b/>
                <w:bCs/>
              </w:rPr>
              <w:t xml:space="preserve">Принятые сокращения</w:t>
            </w:r>
            <w:r/>
          </w:p>
        </w:tc>
      </w:tr>
      <w:tr>
        <w:tblPrEx/>
        <w:trPr>
          <w:jc w:val="center"/>
        </w:trPr>
        <w:tc>
          <w:tcPr>
            <w:shd w:val="clear" w:color="auto" w:fill="ffffff"/>
            <w:tcW w:w="2956" w:type="dxa"/>
            <w:textDirection w:val="lrTb"/>
            <w:noWrap w:val="false"/>
          </w:tcPr>
          <w:p>
            <w:pPr>
              <w:jc w:val="both"/>
            </w:pPr>
            <w:r>
              <w:t xml:space="preserve">АТП</w:t>
            </w:r>
            <w:r/>
          </w:p>
        </w:tc>
        <w:tc>
          <w:tcPr>
            <w:shd w:val="clear" w:color="auto" w:fill="ffffff"/>
            <w:tcW w:w="6650" w:type="dxa"/>
            <w:textDirection w:val="lrTb"/>
            <w:noWrap w:val="false"/>
          </w:tcPr>
          <w:p>
            <w:pPr>
              <w:jc w:val="both"/>
            </w:pPr>
            <w:r>
              <w:t xml:space="preserve">Автотранспортное предприятие (подразделение)</w:t>
            </w:r>
            <w:r/>
          </w:p>
        </w:tc>
      </w:tr>
      <w:tr>
        <w:tblPrEx/>
        <w:trPr>
          <w:jc w:val="center"/>
        </w:trPr>
        <w:tc>
          <w:tcPr>
            <w:tcW w:w="2956" w:type="dxa"/>
            <w:textDirection w:val="lrTb"/>
            <w:noWrap w:val="false"/>
          </w:tcPr>
          <w:p>
            <w:pPr>
              <w:jc w:val="both"/>
            </w:pPr>
            <w:r>
              <w:t xml:space="preserve">АУП</w:t>
            </w:r>
            <w:r/>
          </w:p>
        </w:tc>
        <w:tc>
          <w:tcPr>
            <w:tcW w:w="6650" w:type="dxa"/>
            <w:textDirection w:val="lrTb"/>
            <w:noWrap w:val="false"/>
          </w:tcPr>
          <w:p>
            <w:pPr>
              <w:jc w:val="both"/>
            </w:pPr>
            <w:r>
              <w:t xml:space="preserve">Установка пожаротушения автоматическая</w:t>
            </w:r>
            <w:r/>
          </w:p>
        </w:tc>
      </w:tr>
      <w:tr>
        <w:tblPrEx/>
        <w:trPr>
          <w:jc w:val="center"/>
        </w:trPr>
        <w:tc>
          <w:tcPr>
            <w:tcW w:w="2956" w:type="dxa"/>
            <w:textDirection w:val="lrTb"/>
            <w:noWrap w:val="false"/>
          </w:tcPr>
          <w:p>
            <w:pPr>
              <w:jc w:val="both"/>
            </w:pPr>
            <w:r>
              <w:t xml:space="preserve">БЩУ</w:t>
            </w:r>
            <w:r/>
          </w:p>
        </w:tc>
        <w:tc>
          <w:tcPr>
            <w:tcW w:w="6650" w:type="dxa"/>
            <w:textDirection w:val="lrTb"/>
            <w:noWrap w:val="false"/>
          </w:tcPr>
          <w:p>
            <w:pPr>
              <w:jc w:val="both"/>
            </w:pPr>
            <w:r>
              <w:t xml:space="preserve">Блочный щит управления</w:t>
            </w:r>
            <w:r/>
          </w:p>
        </w:tc>
      </w:tr>
      <w:tr>
        <w:tblPrEx/>
        <w:trPr>
          <w:jc w:val="center"/>
        </w:trPr>
        <w:tc>
          <w:tcPr>
            <w:tcW w:w="2956" w:type="dxa"/>
            <w:textDirection w:val="lrTb"/>
            <w:noWrap w:val="false"/>
          </w:tcPr>
          <w:p>
            <w:pPr>
              <w:jc w:val="both"/>
            </w:pPr>
            <w:r>
              <w:t xml:space="preserve">ВЛ</w:t>
            </w:r>
            <w:r/>
          </w:p>
        </w:tc>
        <w:tc>
          <w:tcPr>
            <w:tcW w:w="6650" w:type="dxa"/>
            <w:textDirection w:val="lrTb"/>
            <w:noWrap w:val="false"/>
          </w:tcPr>
          <w:p>
            <w:pPr>
              <w:jc w:val="both"/>
              <w:rPr>
                <w:bCs/>
                <w:lang w:eastAsia="en-US"/>
              </w:rPr>
            </w:pPr>
            <w:r>
              <w:rPr>
                <w:bCs/>
                <w:lang w:eastAsia="en-US"/>
              </w:rPr>
              <w:t xml:space="preserve">Воздушная линия электропередачи</w:t>
            </w:r>
            <w:r>
              <w:rPr>
                <w:bCs/>
                <w:lang w:eastAsia="en-US"/>
              </w:rPr>
            </w:r>
          </w:p>
        </w:tc>
      </w:tr>
      <w:tr>
        <w:tblPrEx/>
        <w:trPr>
          <w:jc w:val="center"/>
        </w:trPr>
        <w:tc>
          <w:tcPr>
            <w:tcW w:w="2956" w:type="dxa"/>
            <w:textDirection w:val="lrTb"/>
            <w:noWrap w:val="false"/>
          </w:tcPr>
          <w:p>
            <w:pPr>
              <w:jc w:val="both"/>
            </w:pPr>
            <w:r>
              <w:t xml:space="preserve">ГГ</w:t>
            </w:r>
            <w:r/>
          </w:p>
        </w:tc>
        <w:tc>
          <w:tcPr>
            <w:tcW w:w="6650" w:type="dxa"/>
            <w:textDirection w:val="lrTb"/>
            <w:noWrap w:val="false"/>
          </w:tcPr>
          <w:p>
            <w:pPr>
              <w:jc w:val="both"/>
              <w:rPr>
                <w:bCs/>
                <w:lang w:eastAsia="en-US"/>
              </w:rPr>
            </w:pPr>
            <w:r>
              <w:rPr>
                <w:bCs/>
                <w:lang w:eastAsia="en-US"/>
              </w:rPr>
              <w:t xml:space="preserve">Горючие газы</w:t>
            </w:r>
            <w:r>
              <w:rPr>
                <w:bCs/>
                <w:lang w:eastAsia="en-US"/>
              </w:rPr>
            </w:r>
          </w:p>
        </w:tc>
      </w:tr>
      <w:tr>
        <w:tblPrEx/>
        <w:trPr>
          <w:jc w:val="center"/>
        </w:trPr>
        <w:tc>
          <w:tcPr>
            <w:tcW w:w="2956" w:type="dxa"/>
            <w:textDirection w:val="lrTb"/>
            <w:noWrap w:val="false"/>
          </w:tcPr>
          <w:p>
            <w:pPr>
              <w:jc w:val="both"/>
            </w:pPr>
            <w:r>
              <w:t xml:space="preserve">ГЖ</w:t>
            </w:r>
            <w:r/>
          </w:p>
        </w:tc>
        <w:tc>
          <w:tcPr>
            <w:tcW w:w="6650" w:type="dxa"/>
            <w:textDirection w:val="lrTb"/>
            <w:noWrap w:val="false"/>
          </w:tcPr>
          <w:p>
            <w:pPr>
              <w:jc w:val="both"/>
              <w:rPr>
                <w:bCs/>
                <w:lang w:eastAsia="en-US"/>
              </w:rPr>
            </w:pPr>
            <w:r>
              <w:rPr>
                <w:bCs/>
                <w:lang w:eastAsia="en-US"/>
              </w:rPr>
              <w:t xml:space="preserve">Горючие жидкости</w:t>
            </w:r>
            <w:r>
              <w:rPr>
                <w:bCs/>
                <w:lang w:eastAsia="en-US"/>
              </w:rPr>
            </w:r>
          </w:p>
        </w:tc>
      </w:tr>
      <w:tr>
        <w:tblPrEx/>
        <w:trPr>
          <w:jc w:val="center"/>
        </w:trPr>
        <w:tc>
          <w:tcPr>
            <w:tcW w:w="2956" w:type="dxa"/>
            <w:textDirection w:val="lrTb"/>
            <w:noWrap w:val="false"/>
          </w:tcPr>
          <w:p>
            <w:pPr>
              <w:jc w:val="both"/>
            </w:pPr>
            <w:r>
              <w:t xml:space="preserve">ГСМ</w:t>
            </w:r>
            <w:r/>
          </w:p>
        </w:tc>
        <w:tc>
          <w:tcPr>
            <w:tcW w:w="6650" w:type="dxa"/>
            <w:textDirection w:val="lrTb"/>
            <w:noWrap w:val="false"/>
          </w:tcPr>
          <w:p>
            <w:pPr>
              <w:jc w:val="both"/>
              <w:rPr>
                <w:bCs/>
                <w:lang w:eastAsia="en-US"/>
              </w:rPr>
            </w:pPr>
            <w:r>
              <w:rPr>
                <w:bCs/>
                <w:lang w:eastAsia="en-US"/>
              </w:rPr>
              <w:t xml:space="preserve">Горюче смазочные материалы</w:t>
            </w:r>
            <w:r>
              <w:rPr>
                <w:bCs/>
                <w:lang w:eastAsia="en-US"/>
              </w:rPr>
            </w:r>
          </w:p>
        </w:tc>
      </w:tr>
      <w:tr>
        <w:tblPrEx/>
        <w:trPr>
          <w:jc w:val="center"/>
        </w:trPr>
        <w:tc>
          <w:tcPr>
            <w:tcW w:w="2956" w:type="dxa"/>
            <w:textDirection w:val="lrTb"/>
            <w:noWrap w:val="false"/>
          </w:tcPr>
          <w:p>
            <w:pPr>
              <w:jc w:val="both"/>
            </w:pPr>
            <w:r>
              <w:t xml:space="preserve">ГТУ</w:t>
            </w:r>
            <w:r/>
          </w:p>
        </w:tc>
        <w:tc>
          <w:tcPr>
            <w:tcW w:w="6650" w:type="dxa"/>
            <w:textDirection w:val="lrTb"/>
            <w:noWrap w:val="false"/>
          </w:tcPr>
          <w:p>
            <w:pPr>
              <w:jc w:val="both"/>
              <w:rPr>
                <w:bCs/>
                <w:lang w:eastAsia="en-US"/>
              </w:rPr>
            </w:pPr>
            <w:r>
              <w:rPr>
                <w:bCs/>
                <w:lang w:eastAsia="en-US"/>
              </w:rPr>
              <w:t xml:space="preserve">Газотурбинная установка</w:t>
            </w:r>
            <w:r>
              <w:rPr>
                <w:bCs/>
                <w:lang w:eastAsia="en-US"/>
              </w:rPr>
            </w:r>
          </w:p>
        </w:tc>
      </w:tr>
      <w:tr>
        <w:tblPrEx/>
        <w:trPr>
          <w:jc w:val="center"/>
        </w:trPr>
        <w:tc>
          <w:tcPr>
            <w:tcW w:w="2956" w:type="dxa"/>
            <w:textDirection w:val="lrTb"/>
            <w:noWrap w:val="false"/>
          </w:tcPr>
          <w:p>
            <w:pPr>
              <w:jc w:val="both"/>
            </w:pPr>
            <w:r>
              <w:t xml:space="preserve">ГЩУ</w:t>
            </w:r>
            <w:r/>
          </w:p>
        </w:tc>
        <w:tc>
          <w:tcPr>
            <w:tcW w:w="6650" w:type="dxa"/>
            <w:textDirection w:val="lrTb"/>
            <w:noWrap w:val="false"/>
          </w:tcPr>
          <w:p>
            <w:pPr>
              <w:jc w:val="both"/>
              <w:rPr>
                <w:bCs/>
                <w:lang w:eastAsia="en-US"/>
              </w:rPr>
            </w:pPr>
            <w:r>
              <w:rPr>
                <w:bCs/>
                <w:lang w:eastAsia="en-US"/>
              </w:rPr>
              <w:t xml:space="preserve">Главный щит управления</w:t>
            </w:r>
            <w:r>
              <w:rPr>
                <w:bCs/>
                <w:lang w:eastAsia="en-US"/>
              </w:rPr>
            </w:r>
          </w:p>
        </w:tc>
      </w:tr>
      <w:tr>
        <w:tblPrEx/>
        <w:trPr>
          <w:jc w:val="center"/>
        </w:trPr>
        <w:tc>
          <w:tcPr>
            <w:tcW w:w="2956" w:type="dxa"/>
            <w:textDirection w:val="lrTb"/>
            <w:noWrap w:val="false"/>
          </w:tcPr>
          <w:p>
            <w:pPr>
              <w:jc w:val="both"/>
              <w:rPr>
                <w:color w:val="000000"/>
              </w:rPr>
            </w:pPr>
            <w:r>
              <w:rPr>
                <w:color w:val="000000"/>
              </w:rPr>
              <w:t xml:space="preserve">ДКР</w:t>
            </w:r>
            <w:r>
              <w:rPr>
                <w:color w:val="000000"/>
              </w:rPr>
            </w:r>
          </w:p>
        </w:tc>
        <w:tc>
          <w:tcPr>
            <w:tcW w:w="6650" w:type="dxa"/>
            <w:textDirection w:val="lrTb"/>
            <w:noWrap w:val="false"/>
          </w:tcPr>
          <w:p>
            <w:pPr>
              <w:jc w:val="both"/>
              <w:rPr>
                <w:color w:val="000000"/>
              </w:rPr>
            </w:pPr>
            <w:r>
              <w:rPr>
                <w:color w:val="000000"/>
              </w:rPr>
              <w:t xml:space="preserve">Древесно-кустарниковая растительность</w:t>
            </w:r>
            <w:r>
              <w:rPr>
                <w:color w:val="000000"/>
              </w:rPr>
            </w:r>
          </w:p>
        </w:tc>
      </w:tr>
      <w:tr>
        <w:tblPrEx/>
        <w:trPr>
          <w:jc w:val="center"/>
        </w:trPr>
        <w:tc>
          <w:tcPr>
            <w:tcW w:w="2956" w:type="dxa"/>
            <w:textDirection w:val="lrTb"/>
            <w:noWrap w:val="false"/>
          </w:tcPr>
          <w:p>
            <w:pPr>
              <w:jc w:val="both"/>
            </w:pPr>
            <w:r>
              <w:t xml:space="preserve">ЗРУ</w:t>
            </w:r>
            <w:r/>
          </w:p>
        </w:tc>
        <w:tc>
          <w:tcPr>
            <w:tcW w:w="6650" w:type="dxa"/>
            <w:textDirection w:val="lrTb"/>
            <w:noWrap w:val="false"/>
          </w:tcPr>
          <w:p>
            <w:pPr>
              <w:jc w:val="both"/>
              <w:rPr>
                <w:bCs/>
                <w:lang w:eastAsia="en-US"/>
              </w:rPr>
            </w:pPr>
            <w:r>
              <w:rPr>
                <w:bCs/>
                <w:lang w:eastAsia="en-US"/>
              </w:rPr>
              <w:t xml:space="preserve">Закрытое распределительное устройство</w:t>
            </w:r>
            <w:r>
              <w:rPr>
                <w:bCs/>
                <w:lang w:eastAsia="en-US"/>
              </w:rPr>
            </w:r>
          </w:p>
        </w:tc>
      </w:tr>
      <w:tr>
        <w:tblPrEx/>
        <w:trPr>
          <w:jc w:val="center"/>
        </w:trPr>
        <w:tc>
          <w:tcPr>
            <w:tcW w:w="2956" w:type="dxa"/>
            <w:textDirection w:val="lrTb"/>
            <w:noWrap w:val="false"/>
          </w:tcPr>
          <w:p>
            <w:pPr>
              <w:jc w:val="both"/>
            </w:pPr>
            <w:r>
              <w:t xml:space="preserve">КП</w:t>
            </w:r>
            <w:r/>
          </w:p>
        </w:tc>
        <w:tc>
          <w:tcPr>
            <w:tcW w:w="6650" w:type="dxa"/>
            <w:textDirection w:val="lrTb"/>
            <w:noWrap w:val="false"/>
          </w:tcPr>
          <w:p>
            <w:pPr>
              <w:jc w:val="both"/>
              <w:rPr>
                <w:bCs/>
                <w:lang w:eastAsia="en-US"/>
              </w:rPr>
            </w:pPr>
            <w:r>
              <w:rPr>
                <w:bCs/>
                <w:lang w:eastAsia="en-US"/>
              </w:rPr>
              <w:t xml:space="preserve">Колонка пожарная</w:t>
            </w:r>
            <w:r>
              <w:rPr>
                <w:bCs/>
                <w:lang w:eastAsia="en-US"/>
              </w:rPr>
            </w:r>
          </w:p>
        </w:tc>
      </w:tr>
      <w:tr>
        <w:tblPrEx/>
        <w:trPr>
          <w:jc w:val="center"/>
        </w:trPr>
        <w:tc>
          <w:tcPr>
            <w:tcBorders>
              <w:top w:val="single" w:color="000000" w:sz="4" w:space="0"/>
              <w:left w:val="single" w:color="000000" w:sz="4" w:space="0"/>
              <w:bottom w:val="single" w:color="000000" w:sz="4" w:space="0"/>
              <w:right w:val="single" w:color="000000" w:sz="4" w:space="0"/>
            </w:tcBorders>
            <w:tcW w:w="2956" w:type="dxa"/>
            <w:textDirection w:val="lrTb"/>
            <w:noWrap w:val="false"/>
          </w:tcPr>
          <w:p>
            <w:pPr>
              <w:jc w:val="both"/>
            </w:pPr>
            <w:r>
              <w:t xml:space="preserve">КТП</w:t>
            </w:r>
            <w:r/>
          </w:p>
        </w:tc>
        <w:tc>
          <w:tcPr>
            <w:tcBorders>
              <w:top w:val="single" w:color="000000" w:sz="4" w:space="0"/>
              <w:left w:val="single" w:color="000000" w:sz="4" w:space="0"/>
              <w:bottom w:val="single" w:color="000000" w:sz="4" w:space="0"/>
              <w:right w:val="single" w:color="000000" w:sz="4" w:space="0"/>
            </w:tcBorders>
            <w:tcW w:w="6650" w:type="dxa"/>
            <w:textDirection w:val="lrTb"/>
            <w:noWrap w:val="false"/>
          </w:tcPr>
          <w:p>
            <w:pPr>
              <w:jc w:val="both"/>
              <w:rPr>
                <w:bCs/>
                <w:lang w:eastAsia="en-US"/>
              </w:rPr>
            </w:pPr>
            <w:r>
              <w:rPr>
                <w:bCs/>
                <w:lang w:eastAsia="en-US"/>
              </w:rPr>
              <w:t xml:space="preserve">Карточка тушения пожара</w:t>
            </w:r>
            <w:r>
              <w:rPr>
                <w:bCs/>
                <w:lang w:eastAsia="en-US"/>
              </w:rPr>
            </w:r>
          </w:p>
        </w:tc>
      </w:tr>
      <w:tr>
        <w:tblPrEx/>
        <w:trPr>
          <w:jc w:val="center"/>
        </w:trPr>
        <w:tc>
          <w:tcPr>
            <w:tcW w:w="2956" w:type="dxa"/>
            <w:textDirection w:val="lrTb"/>
            <w:noWrap w:val="false"/>
          </w:tcPr>
          <w:p>
            <w:pPr>
              <w:jc w:val="both"/>
            </w:pPr>
            <w:r>
              <w:t xml:space="preserve">ЛВЖ</w:t>
            </w:r>
            <w:r/>
          </w:p>
        </w:tc>
        <w:tc>
          <w:tcPr>
            <w:tcW w:w="6650" w:type="dxa"/>
            <w:textDirection w:val="lrTb"/>
            <w:noWrap w:val="false"/>
          </w:tcPr>
          <w:p>
            <w:pPr>
              <w:jc w:val="both"/>
              <w:rPr>
                <w:bCs/>
                <w:lang w:eastAsia="en-US"/>
              </w:rPr>
            </w:pPr>
            <w:r>
              <w:rPr>
                <w:bCs/>
                <w:lang w:eastAsia="en-US"/>
              </w:rPr>
              <w:t xml:space="preserve">Легковоспламеняющиеся жидкости</w:t>
            </w:r>
            <w:r>
              <w:rPr>
                <w:bCs/>
                <w:lang w:eastAsia="en-US"/>
              </w:rPr>
            </w:r>
          </w:p>
        </w:tc>
      </w:tr>
      <w:tr>
        <w:tblPrEx/>
        <w:trPr>
          <w:jc w:val="center"/>
        </w:trPr>
        <w:tc>
          <w:tcPr>
            <w:tcW w:w="2956" w:type="dxa"/>
            <w:textDirection w:val="lrTb"/>
            <w:noWrap w:val="false"/>
          </w:tcPr>
          <w:p>
            <w:pPr>
              <w:jc w:val="both"/>
            </w:pPr>
            <w:r>
              <w:t xml:space="preserve">ЛЭП</w:t>
            </w:r>
            <w:r/>
          </w:p>
        </w:tc>
        <w:tc>
          <w:tcPr>
            <w:tcW w:w="6650" w:type="dxa"/>
            <w:textDirection w:val="lrTb"/>
            <w:noWrap w:val="false"/>
          </w:tcPr>
          <w:p>
            <w:pPr>
              <w:jc w:val="both"/>
              <w:rPr>
                <w:bCs/>
                <w:lang w:eastAsia="en-US"/>
              </w:rPr>
            </w:pPr>
            <w:r>
              <w:rPr>
                <w:bCs/>
                <w:lang w:eastAsia="en-US"/>
              </w:rPr>
              <w:t xml:space="preserve">Линия электропередачи</w:t>
            </w:r>
            <w:r>
              <w:rPr>
                <w:bCs/>
                <w:lang w:eastAsia="en-US"/>
              </w:rPr>
            </w:r>
          </w:p>
        </w:tc>
      </w:tr>
      <w:tr>
        <w:tblPrEx/>
        <w:trPr>
          <w:jc w:val="center"/>
        </w:trPr>
        <w:tc>
          <w:tcPr>
            <w:tcW w:w="2956" w:type="dxa"/>
            <w:textDirection w:val="lrTb"/>
            <w:noWrap w:val="false"/>
          </w:tcPr>
          <w:p>
            <w:pPr>
              <w:jc w:val="both"/>
            </w:pPr>
            <w:r>
              <w:t xml:space="preserve">МЧС России</w:t>
            </w:r>
            <w:r/>
          </w:p>
        </w:tc>
        <w:tc>
          <w:tcPr>
            <w:tcW w:w="6650" w:type="dxa"/>
            <w:textDirection w:val="lrTb"/>
            <w:noWrap w:val="false"/>
          </w:tcPr>
          <w:p>
            <w:pPr>
              <w:jc w:val="both"/>
            </w:pPr>
            <w:r>
              <w:t xml:space="preserve">Министерство Российской Федерации по делам гражданской обороны, чрезвычайным ситуациям и ликвидации последствий стихийных бедствий</w:t>
            </w:r>
            <w:r/>
          </w:p>
        </w:tc>
      </w:tr>
      <w:tr>
        <w:tblPrEx/>
        <w:trPr>
          <w:jc w:val="center"/>
        </w:trPr>
        <w:tc>
          <w:tcPr>
            <w:tcW w:w="2956" w:type="dxa"/>
            <w:textDirection w:val="lrTb"/>
            <w:noWrap w:val="false"/>
          </w:tcPr>
          <w:p>
            <w:pPr>
              <w:jc w:val="both"/>
            </w:pPr>
            <w:r>
              <w:t xml:space="preserve">НКПВ</w:t>
            </w:r>
            <w:r/>
          </w:p>
        </w:tc>
        <w:tc>
          <w:tcPr>
            <w:tcW w:w="6650" w:type="dxa"/>
            <w:textDirection w:val="lrTb"/>
            <w:noWrap w:val="false"/>
          </w:tcPr>
          <w:p>
            <w:pPr>
              <w:jc w:val="both"/>
              <w:rPr>
                <w:bCs/>
                <w:lang w:eastAsia="en-US"/>
              </w:rPr>
            </w:pPr>
            <w:r>
              <w:rPr>
                <w:bCs/>
                <w:lang w:eastAsia="en-US"/>
              </w:rPr>
              <w:t xml:space="preserve">Нижний концентрационный предел воспламеняемости</w:t>
            </w:r>
            <w:r>
              <w:rPr>
                <w:bCs/>
                <w:lang w:eastAsia="en-US"/>
              </w:rPr>
            </w:r>
          </w:p>
        </w:tc>
      </w:tr>
      <w:tr>
        <w:tblPrEx/>
        <w:trPr>
          <w:jc w:val="center"/>
        </w:trPr>
        <w:tc>
          <w:tcPr>
            <w:tcW w:w="2956" w:type="dxa"/>
            <w:textDirection w:val="lrTb"/>
            <w:noWrap w:val="false"/>
          </w:tcPr>
          <w:p>
            <w:pPr>
              <w:jc w:val="both"/>
            </w:pPr>
            <w:r>
              <w:t xml:space="preserve">НТД</w:t>
            </w:r>
            <w:r/>
          </w:p>
        </w:tc>
        <w:tc>
          <w:tcPr>
            <w:tcW w:w="6650" w:type="dxa"/>
            <w:textDirection w:val="lrTb"/>
            <w:noWrap w:val="false"/>
          </w:tcPr>
          <w:p>
            <w:pPr>
              <w:jc w:val="both"/>
              <w:rPr>
                <w:bCs/>
                <w:lang w:eastAsia="en-US"/>
              </w:rPr>
            </w:pPr>
            <w:r>
              <w:rPr>
                <w:bCs/>
                <w:lang w:eastAsia="en-US"/>
              </w:rPr>
              <w:t xml:space="preserve">Нормативно-технический документ</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ОЗС</w:t>
            </w:r>
            <w:r>
              <w:rPr>
                <w:lang w:eastAsia="en-US"/>
              </w:rPr>
            </w:r>
          </w:p>
        </w:tc>
        <w:tc>
          <w:tcPr>
            <w:tcW w:w="6650" w:type="dxa"/>
            <w:textDirection w:val="lrTb"/>
            <w:noWrap w:val="false"/>
          </w:tcPr>
          <w:p>
            <w:pPr>
              <w:jc w:val="both"/>
              <w:rPr>
                <w:bCs/>
                <w:lang w:eastAsia="en-US"/>
              </w:rPr>
            </w:pPr>
            <w:r>
              <w:rPr>
                <w:bCs/>
                <w:lang w:eastAsia="en-US"/>
              </w:rPr>
              <w:t xml:space="preserve">Огнезащитный состав</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ОКДПП</w:t>
            </w:r>
            <w:r>
              <w:rPr>
                <w:lang w:eastAsia="en-US"/>
              </w:rPr>
            </w:r>
          </w:p>
        </w:tc>
        <w:tc>
          <w:tcPr>
            <w:tcW w:w="6650" w:type="dxa"/>
            <w:textDirection w:val="lrTb"/>
            <w:noWrap w:val="false"/>
          </w:tcPr>
          <w:p>
            <w:pPr>
              <w:jc w:val="both"/>
              <w:rPr>
                <w:bCs/>
                <w:lang w:eastAsia="en-US"/>
              </w:rPr>
            </w:pPr>
            <w:r>
              <w:rPr>
                <w:bCs/>
                <w:lang w:eastAsia="en-US"/>
              </w:rPr>
              <w:t xml:space="preserve">Оперативная карточка действий персонала при пожаре  </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ОРД</w:t>
            </w:r>
            <w:r>
              <w:rPr>
                <w:lang w:eastAsia="en-US"/>
              </w:rPr>
            </w:r>
          </w:p>
        </w:tc>
        <w:tc>
          <w:tcPr>
            <w:tcW w:w="6650" w:type="dxa"/>
            <w:textDirection w:val="lrTb"/>
            <w:noWrap w:val="false"/>
          </w:tcPr>
          <w:p>
            <w:pPr>
              <w:jc w:val="both"/>
              <w:rPr>
                <w:bCs/>
                <w:lang w:eastAsia="en-US"/>
              </w:rPr>
            </w:pPr>
            <w:r>
              <w:rPr>
                <w:bCs/>
                <w:lang w:eastAsia="en-US"/>
              </w:rPr>
              <w:t xml:space="preserve">Организационно-распорядительный документ</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ОТВ</w:t>
            </w:r>
            <w:r>
              <w:rPr>
                <w:lang w:eastAsia="en-US"/>
              </w:rPr>
            </w:r>
          </w:p>
        </w:tc>
        <w:tc>
          <w:tcPr>
            <w:tcW w:w="6650" w:type="dxa"/>
            <w:textDirection w:val="lrTb"/>
            <w:noWrap w:val="false"/>
          </w:tcPr>
          <w:p>
            <w:pPr>
              <w:jc w:val="both"/>
              <w:rPr>
                <w:bCs/>
                <w:lang w:eastAsia="en-US"/>
              </w:rPr>
            </w:pPr>
            <w:r>
              <w:rPr>
                <w:bCs/>
                <w:lang w:eastAsia="en-US"/>
              </w:rPr>
              <w:t xml:space="preserve">Огнетушащее вещество</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ОШПТ</w:t>
            </w:r>
            <w:r>
              <w:rPr>
                <w:lang w:eastAsia="en-US"/>
              </w:rPr>
            </w:r>
          </w:p>
        </w:tc>
        <w:tc>
          <w:tcPr>
            <w:tcW w:w="6650" w:type="dxa"/>
            <w:textDirection w:val="lrTb"/>
            <w:noWrap w:val="false"/>
          </w:tcPr>
          <w:p>
            <w:pPr>
              <w:jc w:val="both"/>
              <w:rPr>
                <w:bCs/>
                <w:lang w:eastAsia="en-US"/>
              </w:rPr>
            </w:pPr>
            <w:r>
              <w:rPr>
                <w:bCs/>
                <w:lang w:eastAsia="en-US"/>
              </w:rPr>
              <w:t xml:space="preserve">Оперативный штаб пожаротушения</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ПГ</w:t>
            </w:r>
            <w:r>
              <w:rPr>
                <w:lang w:eastAsia="en-US"/>
              </w:rPr>
            </w:r>
          </w:p>
        </w:tc>
        <w:tc>
          <w:tcPr>
            <w:tcW w:w="6650" w:type="dxa"/>
            <w:textDirection w:val="lrTb"/>
            <w:noWrap w:val="false"/>
          </w:tcPr>
          <w:p>
            <w:pPr>
              <w:jc w:val="both"/>
              <w:rPr>
                <w:bCs/>
                <w:lang w:eastAsia="en-US"/>
              </w:rPr>
            </w:pPr>
            <w:r>
              <w:rPr>
                <w:bCs/>
                <w:lang w:eastAsia="en-US"/>
              </w:rPr>
              <w:t xml:space="preserve">Пожарный гидрант</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ПК</w:t>
            </w:r>
            <w:r>
              <w:rPr>
                <w:lang w:eastAsia="en-US"/>
              </w:rPr>
            </w:r>
          </w:p>
        </w:tc>
        <w:tc>
          <w:tcPr>
            <w:tcW w:w="6650" w:type="dxa"/>
            <w:textDirection w:val="lrTb"/>
            <w:noWrap w:val="false"/>
          </w:tcPr>
          <w:p>
            <w:pPr>
              <w:jc w:val="both"/>
              <w:rPr>
                <w:bCs/>
                <w:lang w:eastAsia="en-US"/>
              </w:rPr>
            </w:pPr>
            <w:r>
              <w:rPr>
                <w:bCs/>
                <w:lang w:eastAsia="en-US"/>
              </w:rPr>
              <w:t xml:space="preserve">Пожарный кран</w:t>
            </w:r>
            <w:r>
              <w:rPr>
                <w:bCs/>
                <w:lang w:eastAsia="en-US"/>
              </w:rPr>
            </w:r>
          </w:p>
        </w:tc>
      </w:tr>
      <w:tr>
        <w:tblPrEx/>
        <w:trPr>
          <w:jc w:val="center"/>
        </w:trPr>
        <w:tc>
          <w:tcPr>
            <w:tcW w:w="2956" w:type="dxa"/>
            <w:textDirection w:val="lrTb"/>
            <w:noWrap w:val="false"/>
          </w:tcPr>
          <w:p>
            <w:pPr>
              <w:jc w:val="both"/>
              <w:rPr>
                <w:color w:val="000000"/>
              </w:rPr>
            </w:pPr>
            <w:r>
              <w:rPr>
                <w:color w:val="000000"/>
              </w:rPr>
              <w:t xml:space="preserve">ПОТЭЭ</w:t>
            </w:r>
            <w:r>
              <w:rPr>
                <w:color w:val="000000"/>
              </w:rPr>
            </w:r>
          </w:p>
        </w:tc>
        <w:tc>
          <w:tcPr>
            <w:tcW w:w="6650" w:type="dxa"/>
            <w:textDirection w:val="lrTb"/>
            <w:noWrap w:val="false"/>
          </w:tcPr>
          <w:p>
            <w:pPr>
              <w:jc w:val="both"/>
              <w:rPr>
                <w:color w:val="000000"/>
              </w:rPr>
            </w:pPr>
            <w:r>
              <w:rPr>
                <w:color w:val="000000"/>
              </w:rPr>
              <w:t xml:space="preserve">Правила охраны труда при эксплуатации электроустановок</w:t>
            </w:r>
            <w:r>
              <w:rPr>
                <w:color w:val="000000"/>
              </w:rPr>
            </w:r>
          </w:p>
        </w:tc>
      </w:tr>
      <w:tr>
        <w:tblPrEx/>
        <w:trPr>
          <w:jc w:val="center"/>
        </w:trPr>
        <w:tc>
          <w:tcPr>
            <w:tcW w:w="2956" w:type="dxa"/>
            <w:textDirection w:val="lrTb"/>
            <w:noWrap w:val="false"/>
          </w:tcPr>
          <w:p>
            <w:pPr>
              <w:jc w:val="both"/>
              <w:rPr>
                <w:lang w:eastAsia="en-US"/>
              </w:rPr>
            </w:pPr>
            <w:r>
              <w:rPr>
                <w:lang w:eastAsia="en-US"/>
              </w:rPr>
              <w:t xml:space="preserve">ППКиОТ </w:t>
            </w:r>
            <w:r>
              <w:rPr>
                <w:lang w:eastAsia="en-US"/>
              </w:rPr>
            </w:r>
          </w:p>
        </w:tc>
        <w:tc>
          <w:tcPr>
            <w:tcW w:w="6650" w:type="dxa"/>
            <w:textDirection w:val="lrTb"/>
            <w:noWrap w:val="false"/>
          </w:tcPr>
          <w:p>
            <w:pPr>
              <w:jc w:val="both"/>
              <w:rPr>
                <w:bCs/>
                <w:lang w:eastAsia="en-US"/>
              </w:rPr>
            </w:pPr>
            <w:r>
              <w:rPr>
                <w:bCs/>
                <w:lang w:eastAsia="en-US"/>
              </w:rPr>
              <w:t xml:space="preserve">Подразделение производственного контроля и охраны труда</w:t>
            </w:r>
            <w:r>
              <w:rPr>
                <w:bCs/>
                <w:lang w:eastAsia="en-US"/>
              </w:rPr>
            </w:r>
          </w:p>
        </w:tc>
      </w:tr>
      <w:tr>
        <w:tblPrEx/>
        <w:trPr>
          <w:jc w:val="center"/>
        </w:trPr>
        <w:tc>
          <w:tcPr>
            <w:tcW w:w="2956" w:type="dxa"/>
            <w:textDirection w:val="lrTb"/>
            <w:noWrap w:val="false"/>
          </w:tcPr>
          <w:p>
            <w:pPr>
              <w:jc w:val="both"/>
              <w:rPr>
                <w:color w:val="000000"/>
              </w:rPr>
            </w:pPr>
            <w:r>
              <w:rPr>
                <w:color w:val="000000"/>
              </w:rPr>
              <w:t xml:space="preserve">ППР</w:t>
            </w:r>
            <w:r>
              <w:rPr>
                <w:color w:val="000000"/>
              </w:rPr>
            </w:r>
          </w:p>
        </w:tc>
        <w:tc>
          <w:tcPr>
            <w:tcW w:w="6650" w:type="dxa"/>
            <w:textDirection w:val="lrTb"/>
            <w:noWrap w:val="false"/>
          </w:tcPr>
          <w:p>
            <w:pPr>
              <w:jc w:val="both"/>
              <w:rPr>
                <w:color w:val="000000"/>
              </w:rPr>
            </w:pPr>
            <w:r>
              <w:rPr>
                <w:color w:val="000000"/>
              </w:rPr>
              <w:t xml:space="preserve">Проект производства работ</w:t>
            </w:r>
            <w:r>
              <w:rPr>
                <w:color w:val="000000"/>
              </w:rPr>
            </w:r>
          </w:p>
        </w:tc>
      </w:tr>
      <w:tr>
        <w:tblPrEx/>
        <w:trPr>
          <w:jc w:val="center"/>
        </w:trPr>
        <w:tc>
          <w:tcPr>
            <w:tcW w:w="2956" w:type="dxa"/>
            <w:textDirection w:val="lrTb"/>
            <w:noWrap w:val="false"/>
          </w:tcPr>
          <w:p>
            <w:pPr>
              <w:jc w:val="both"/>
            </w:pPr>
            <w:r>
              <w:t xml:space="preserve">ПС</w:t>
            </w:r>
            <w:r/>
          </w:p>
        </w:tc>
        <w:tc>
          <w:tcPr>
            <w:tcW w:w="6650" w:type="dxa"/>
            <w:textDirection w:val="lrTb"/>
            <w:noWrap w:val="false"/>
          </w:tcPr>
          <w:p>
            <w:pPr>
              <w:jc w:val="both"/>
              <w:rPr>
                <w:bCs/>
                <w:lang w:eastAsia="en-US"/>
              </w:rPr>
            </w:pPr>
            <w:r>
              <w:rPr>
                <w:bCs/>
                <w:lang w:eastAsia="en-US"/>
              </w:rPr>
              <w:t xml:space="preserve">Подстанция </w:t>
            </w:r>
            <w:r>
              <w:rPr>
                <w:bCs/>
                <w:lang w:eastAsia="en-US"/>
              </w:rPr>
            </w:r>
          </w:p>
        </w:tc>
      </w:tr>
      <w:tr>
        <w:tblPrEx/>
        <w:trPr>
          <w:jc w:val="center"/>
        </w:trPr>
        <w:tc>
          <w:tcPr>
            <w:tcW w:w="2956" w:type="dxa"/>
            <w:textDirection w:val="lrTb"/>
            <w:noWrap w:val="false"/>
          </w:tcPr>
          <w:p>
            <w:pPr>
              <w:jc w:val="both"/>
              <w:rPr>
                <w:color w:val="000000"/>
              </w:rPr>
            </w:pPr>
            <w:r>
              <w:rPr>
                <w:color w:val="000000"/>
              </w:rPr>
              <w:t xml:space="preserve">ПТК</w:t>
            </w:r>
            <w:r>
              <w:rPr>
                <w:color w:val="000000"/>
              </w:rPr>
            </w:r>
          </w:p>
        </w:tc>
        <w:tc>
          <w:tcPr>
            <w:tcW w:w="6650" w:type="dxa"/>
            <w:textDirection w:val="lrTb"/>
            <w:noWrap w:val="false"/>
          </w:tcPr>
          <w:p>
            <w:pPr>
              <w:jc w:val="both"/>
              <w:rPr>
                <w:color w:val="000000"/>
              </w:rPr>
            </w:pPr>
            <w:r>
              <w:rPr>
                <w:color w:val="000000"/>
              </w:rPr>
              <w:t xml:space="preserve">Пожарно-техническая комиссия </w:t>
            </w:r>
            <w:r>
              <w:rPr>
                <w:color w:val="000000"/>
              </w:rPr>
            </w:r>
          </w:p>
        </w:tc>
      </w:tr>
      <w:tr>
        <w:tblPrEx/>
        <w:trPr>
          <w:jc w:val="center"/>
        </w:trPr>
        <w:tc>
          <w:tcPr>
            <w:tcW w:w="2956" w:type="dxa"/>
            <w:textDirection w:val="lrTb"/>
            <w:noWrap w:val="false"/>
          </w:tcPr>
          <w:p>
            <w:pPr>
              <w:jc w:val="both"/>
              <w:rPr>
                <w:lang w:eastAsia="en-US"/>
              </w:rPr>
            </w:pPr>
            <w:r>
              <w:rPr>
                <w:lang w:eastAsia="en-US"/>
              </w:rPr>
              <w:t xml:space="preserve">ПТП</w:t>
            </w:r>
            <w:r>
              <w:rPr>
                <w:lang w:eastAsia="en-US"/>
              </w:rPr>
            </w:r>
          </w:p>
        </w:tc>
        <w:tc>
          <w:tcPr>
            <w:tcW w:w="6650" w:type="dxa"/>
            <w:textDirection w:val="lrTb"/>
            <w:noWrap w:val="false"/>
          </w:tcPr>
          <w:p>
            <w:pPr>
              <w:jc w:val="both"/>
              <w:rPr>
                <w:bCs/>
                <w:lang w:eastAsia="en-US"/>
              </w:rPr>
            </w:pPr>
            <w:r>
              <w:rPr>
                <w:bCs/>
                <w:lang w:eastAsia="en-US"/>
              </w:rPr>
              <w:t xml:space="preserve">План тушения пожара </w:t>
            </w:r>
            <w:r>
              <w:rPr>
                <w:bCs/>
                <w:lang w:eastAsia="en-US"/>
              </w:rPr>
            </w:r>
          </w:p>
        </w:tc>
      </w:tr>
      <w:tr>
        <w:tblPrEx/>
        <w:trPr>
          <w:jc w:val="center"/>
        </w:trPr>
        <w:tc>
          <w:tcPr>
            <w:tcW w:w="2956" w:type="dxa"/>
            <w:textDirection w:val="lrTb"/>
            <w:noWrap w:val="false"/>
          </w:tcPr>
          <w:p>
            <w:pPr>
              <w:jc w:val="both"/>
            </w:pPr>
            <w:r>
              <w:t xml:space="preserve">ПТЭ</w:t>
            </w:r>
            <w:r/>
          </w:p>
        </w:tc>
        <w:tc>
          <w:tcPr>
            <w:tcW w:w="6650" w:type="dxa"/>
            <w:textDirection w:val="lrTb"/>
            <w:noWrap w:val="false"/>
          </w:tcPr>
          <w:p>
            <w:pPr>
              <w:jc w:val="both"/>
              <w:rPr>
                <w:bCs/>
                <w:lang w:eastAsia="en-US"/>
              </w:rPr>
            </w:pPr>
            <w:r>
              <w:t xml:space="preserve">Правила технической эксплуатации электрических станций и сетей</w:t>
            </w:r>
            <w:r>
              <w:rPr>
                <w:bCs/>
                <w:lang w:eastAsia="en-US"/>
              </w:rPr>
            </w:r>
          </w:p>
        </w:tc>
      </w:tr>
      <w:tr>
        <w:tblPrEx/>
        <w:trPr>
          <w:jc w:val="center"/>
        </w:trPr>
        <w:tc>
          <w:tcPr>
            <w:tcW w:w="2956" w:type="dxa"/>
            <w:textDirection w:val="lrTb"/>
            <w:noWrap w:val="false"/>
          </w:tcPr>
          <w:p>
            <w:pPr>
              <w:jc w:val="both"/>
            </w:pPr>
            <w:r/>
            <w:hyperlink r:id="rId31" w:tooltip="&quot;Правила устройства электроустановок (ПУЭ). Оглавление&quot;(утв. Минэнерго России от 06.10.1999)Статус: Статус документа не определен" w:history="1">
              <w:r>
                <w:rPr>
                  <w:rStyle w:val="1111"/>
                  <w:color w:val="e48b00"/>
                </w:rPr>
                <w:t xml:space="preserve">ПУЭ</w:t>
              </w:r>
            </w:hyperlink>
            <w:r/>
            <w:r/>
          </w:p>
        </w:tc>
        <w:tc>
          <w:tcPr>
            <w:tcW w:w="6650" w:type="dxa"/>
            <w:textDirection w:val="lrTb"/>
            <w:noWrap w:val="false"/>
          </w:tcPr>
          <w:p>
            <w:pPr>
              <w:jc w:val="both"/>
              <w:rPr>
                <w:color w:val="000000"/>
              </w:rPr>
            </w:pPr>
            <w:r/>
            <w:hyperlink r:id="rId32" w:tooltip="&quot;Правила устройства электроустановок (ПУЭ). Оглавление&quot;(утв. Минэнерго России от 06.10.1999)Статус: Статус документа не определен" w:history="1">
              <w:r>
                <w:rPr>
                  <w:color w:val="e48b00"/>
                  <w:u w:val="single"/>
                </w:rPr>
                <w:t xml:space="preserve">Правила устройства электроустановок</w:t>
              </w:r>
            </w:hyperlink>
            <w:r/>
            <w:r>
              <w:rPr>
                <w:color w:val="000000"/>
              </w:rPr>
            </w:r>
          </w:p>
        </w:tc>
      </w:tr>
      <w:tr>
        <w:tblPrEx/>
        <w:trPr>
          <w:jc w:val="center"/>
        </w:trPr>
        <w:tc>
          <w:tcPr>
            <w:tcW w:w="2956" w:type="dxa"/>
            <w:textDirection w:val="lrTb"/>
            <w:noWrap w:val="false"/>
          </w:tcPr>
          <w:p>
            <w:pPr>
              <w:jc w:val="both"/>
            </w:pPr>
            <w:r>
              <w:t xml:space="preserve">РИСЭ</w:t>
            </w:r>
            <w:r/>
          </w:p>
        </w:tc>
        <w:tc>
          <w:tcPr>
            <w:tcW w:w="6650" w:type="dxa"/>
            <w:textDirection w:val="lrTb"/>
            <w:noWrap w:val="false"/>
          </w:tcPr>
          <w:p>
            <w:pPr>
              <w:jc w:val="both"/>
              <w:rPr>
                <w:bCs/>
                <w:lang w:eastAsia="en-US"/>
              </w:rPr>
            </w:pPr>
            <w:r>
              <w:rPr>
                <w:bCs/>
                <w:lang w:eastAsia="en-US"/>
              </w:rPr>
              <w:t xml:space="preserve">Резервный источник системы электроснабжения</w:t>
            </w:r>
            <w:r>
              <w:rPr>
                <w:bCs/>
                <w:lang w:eastAsia="en-US"/>
              </w:rPr>
            </w:r>
          </w:p>
        </w:tc>
      </w:tr>
      <w:tr>
        <w:tblPrEx/>
        <w:trPr>
          <w:jc w:val="center"/>
        </w:trPr>
        <w:tc>
          <w:tcPr>
            <w:tcW w:w="2956" w:type="dxa"/>
            <w:textDirection w:val="lrTb"/>
            <w:noWrap w:val="false"/>
          </w:tcPr>
          <w:p>
            <w:pPr>
              <w:jc w:val="both"/>
            </w:pPr>
            <w:r>
              <w:t xml:space="preserve">РТП</w:t>
            </w:r>
            <w:r/>
          </w:p>
        </w:tc>
        <w:tc>
          <w:tcPr>
            <w:tcW w:w="6650" w:type="dxa"/>
            <w:textDirection w:val="lrTb"/>
            <w:noWrap w:val="false"/>
          </w:tcPr>
          <w:p>
            <w:pPr>
              <w:jc w:val="both"/>
            </w:pPr>
            <w:r>
              <w:t xml:space="preserve">Руководитель тушения пожара</w:t>
            </w:r>
            <w:r/>
          </w:p>
        </w:tc>
      </w:tr>
      <w:tr>
        <w:tblPrEx/>
        <w:trPr>
          <w:jc w:val="center"/>
        </w:trPr>
        <w:tc>
          <w:tcPr>
            <w:tcW w:w="2956" w:type="dxa"/>
            <w:textDirection w:val="lrTb"/>
            <w:noWrap w:val="false"/>
          </w:tcPr>
          <w:p>
            <w:pPr>
              <w:jc w:val="both"/>
            </w:pPr>
            <w:r>
              <w:t xml:space="preserve">СВТК</w:t>
            </w:r>
            <w:r/>
          </w:p>
        </w:tc>
        <w:tc>
          <w:tcPr>
            <w:tcW w:w="6650" w:type="dxa"/>
            <w:textDirection w:val="lrTb"/>
            <w:noWrap w:val="false"/>
          </w:tcPr>
          <w:p>
            <w:pPr>
              <w:jc w:val="both"/>
            </w:pPr>
            <w:r>
              <w:t xml:space="preserve">Система внутреннего технического контроля</w:t>
            </w:r>
            <w:r/>
          </w:p>
        </w:tc>
      </w:tr>
      <w:tr>
        <w:tblPrEx/>
        <w:trPr>
          <w:jc w:val="center"/>
        </w:trPr>
        <w:tc>
          <w:tcPr>
            <w:tcW w:w="2956" w:type="dxa"/>
            <w:textDirection w:val="lrTb"/>
            <w:noWrap w:val="false"/>
          </w:tcPr>
          <w:p>
            <w:pPr>
              <w:jc w:val="both"/>
            </w:pPr>
            <w:r>
              <w:t xml:space="preserve">СИЗЛП</w:t>
            </w:r>
            <w:r/>
          </w:p>
        </w:tc>
        <w:tc>
          <w:tcPr>
            <w:tcW w:w="6650" w:type="dxa"/>
            <w:textDirection w:val="lrTb"/>
            <w:noWrap w:val="false"/>
          </w:tcPr>
          <w:p>
            <w:pPr>
              <w:jc w:val="both"/>
            </w:pPr>
            <w:r>
              <w:t xml:space="preserve">Средства индивидуальной защиты и спасения людей при пожаре</w:t>
            </w:r>
            <w:r/>
          </w:p>
        </w:tc>
      </w:tr>
      <w:tr>
        <w:tblPrEx/>
        <w:trPr>
          <w:jc w:val="center"/>
        </w:trPr>
        <w:tc>
          <w:tcPr>
            <w:tcW w:w="2956" w:type="dxa"/>
            <w:textDirection w:val="lrTb"/>
            <w:noWrap w:val="false"/>
          </w:tcPr>
          <w:p>
            <w:pPr>
              <w:jc w:val="both"/>
              <w:rPr>
                <w:lang w:eastAsia="en-US"/>
              </w:rPr>
            </w:pPr>
            <w:r>
              <w:rPr>
                <w:lang w:eastAsia="en-US"/>
              </w:rPr>
              <w:t xml:space="preserve">СОУЭ</w:t>
            </w:r>
            <w:r>
              <w:rPr>
                <w:lang w:eastAsia="en-US"/>
              </w:rPr>
            </w:r>
          </w:p>
        </w:tc>
        <w:tc>
          <w:tcPr>
            <w:tcW w:w="6650" w:type="dxa"/>
            <w:textDirection w:val="lrTb"/>
            <w:noWrap w:val="false"/>
          </w:tcPr>
          <w:p>
            <w:pPr>
              <w:jc w:val="both"/>
              <w:rPr>
                <w:lang w:eastAsia="en-US"/>
              </w:rPr>
            </w:pPr>
            <w:r>
              <w:rPr>
                <w:bCs/>
                <w:lang w:eastAsia="en-US"/>
              </w:rPr>
              <w:t xml:space="preserve">Система оповещения и управления эвакуацией людей при пожаре</w:t>
            </w:r>
            <w:r>
              <w:rPr>
                <w:lang w:eastAsia="en-US"/>
              </w:rPr>
            </w:r>
          </w:p>
        </w:tc>
      </w:tr>
      <w:tr>
        <w:tblPrEx/>
        <w:trPr>
          <w:jc w:val="center"/>
        </w:trPr>
        <w:tc>
          <w:tcPr>
            <w:tcW w:w="2956" w:type="dxa"/>
            <w:textDirection w:val="lrTb"/>
            <w:noWrap w:val="false"/>
          </w:tcPr>
          <w:p>
            <w:pPr>
              <w:jc w:val="both"/>
            </w:pPr>
            <w:r>
              <w:t xml:space="preserve">СПС</w:t>
            </w:r>
            <w:r/>
          </w:p>
        </w:tc>
        <w:tc>
          <w:tcPr>
            <w:tcW w:w="6650" w:type="dxa"/>
            <w:textDirection w:val="lrTb"/>
            <w:noWrap w:val="false"/>
          </w:tcPr>
          <w:p>
            <w:pPr>
              <w:jc w:val="both"/>
            </w:pPr>
            <w:r>
              <w:t xml:space="preserve">Система пожарной сигнализации</w:t>
            </w:r>
            <w:r/>
          </w:p>
        </w:tc>
      </w:tr>
      <w:tr>
        <w:tblPrEx/>
        <w:trPr>
          <w:jc w:val="center"/>
        </w:trPr>
        <w:tc>
          <w:tcPr>
            <w:tcW w:w="2956" w:type="dxa"/>
            <w:textDirection w:val="lrTb"/>
            <w:noWrap w:val="false"/>
          </w:tcPr>
          <w:p>
            <w:pPr>
              <w:jc w:val="both"/>
            </w:pPr>
            <w:r>
              <w:t xml:space="preserve">ТО и ППР</w:t>
            </w:r>
            <w:r/>
          </w:p>
        </w:tc>
        <w:tc>
          <w:tcPr>
            <w:tcW w:w="6650" w:type="dxa"/>
            <w:textDirection w:val="lrTb"/>
            <w:noWrap w:val="false"/>
          </w:tcPr>
          <w:p>
            <w:pPr>
              <w:jc w:val="both"/>
            </w:pPr>
            <w:r>
              <w:t xml:space="preserve">Техническое обслуживание и планово-предупредительный ремонт</w:t>
            </w:r>
            <w:r/>
          </w:p>
        </w:tc>
      </w:tr>
      <w:tr>
        <w:tblPrEx/>
        <w:trPr>
          <w:jc w:val="center"/>
        </w:trPr>
        <w:tc>
          <w:tcPr>
            <w:tcW w:w="2956" w:type="dxa"/>
            <w:textDirection w:val="lrTb"/>
            <w:noWrap w:val="false"/>
          </w:tcPr>
          <w:p>
            <w:pPr>
              <w:jc w:val="both"/>
            </w:pPr>
            <w:r>
              <w:t xml:space="preserve">ТС</w:t>
            </w:r>
            <w:r/>
          </w:p>
        </w:tc>
        <w:tc>
          <w:tcPr>
            <w:tcW w:w="6650" w:type="dxa"/>
            <w:textDirection w:val="lrTb"/>
            <w:noWrap w:val="false"/>
          </w:tcPr>
          <w:p>
            <w:pPr>
              <w:jc w:val="both"/>
            </w:pPr>
            <w:r>
              <w:t xml:space="preserve">Транспортные средства </w:t>
            </w:r>
            <w:r/>
          </w:p>
        </w:tc>
      </w:tr>
      <w:tr>
        <w:tblPrEx/>
        <w:trPr>
          <w:jc w:val="center"/>
        </w:trPr>
        <w:tc>
          <w:tcPr>
            <w:tcW w:w="2956" w:type="dxa"/>
            <w:textDirection w:val="lrTb"/>
            <w:noWrap w:val="false"/>
          </w:tcPr>
          <w:p>
            <w:pPr>
              <w:jc w:val="both"/>
            </w:pPr>
            <w:r>
              <w:t xml:space="preserve">ТУ</w:t>
            </w:r>
            <w:r/>
          </w:p>
        </w:tc>
        <w:tc>
          <w:tcPr>
            <w:tcW w:w="6650" w:type="dxa"/>
            <w:textDirection w:val="lrTb"/>
            <w:noWrap w:val="false"/>
          </w:tcPr>
          <w:p>
            <w:pPr>
              <w:jc w:val="both"/>
            </w:pPr>
            <w:r>
              <w:t xml:space="preserve">Технические условия</w:t>
            </w:r>
            <w:r/>
          </w:p>
        </w:tc>
      </w:tr>
      <w:tr>
        <w:tblPrEx/>
        <w:trPr>
          <w:jc w:val="center"/>
        </w:trPr>
        <w:tc>
          <w:tcPr>
            <w:tcW w:w="2956" w:type="dxa"/>
            <w:textDirection w:val="lrTb"/>
            <w:noWrap w:val="false"/>
          </w:tcPr>
          <w:p>
            <w:pPr>
              <w:jc w:val="both"/>
              <w:rPr>
                <w:lang w:eastAsia="en-US"/>
              </w:rPr>
            </w:pPr>
            <w:r>
              <w:rPr>
                <w:lang w:eastAsia="en-US"/>
              </w:rPr>
              <w:t xml:space="preserve">ФОИВ</w:t>
            </w:r>
            <w:r>
              <w:rPr>
                <w:lang w:eastAsia="en-US"/>
              </w:rPr>
            </w:r>
          </w:p>
        </w:tc>
        <w:tc>
          <w:tcPr>
            <w:tcW w:w="6650" w:type="dxa"/>
            <w:textDirection w:val="lrTb"/>
            <w:noWrap w:val="false"/>
          </w:tcPr>
          <w:p>
            <w:pPr>
              <w:jc w:val="both"/>
              <w:rPr>
                <w:bCs/>
                <w:lang w:eastAsia="en-US"/>
              </w:rPr>
            </w:pPr>
            <w:r>
              <w:rPr>
                <w:bCs/>
                <w:lang w:eastAsia="en-US"/>
              </w:rPr>
              <w:t xml:space="preserve">Федеральный орган исполнительной власти</w:t>
            </w:r>
            <w:r>
              <w:rPr>
                <w:bCs/>
                <w:lang w:eastAsia="en-US"/>
              </w:rPr>
            </w:r>
          </w:p>
        </w:tc>
      </w:tr>
      <w:tr>
        <w:tblPrEx/>
        <w:trPr>
          <w:jc w:val="center"/>
        </w:trPr>
        <w:tc>
          <w:tcPr>
            <w:tcW w:w="2956" w:type="dxa"/>
            <w:textDirection w:val="lrTb"/>
            <w:noWrap w:val="false"/>
          </w:tcPr>
          <w:p>
            <w:pPr>
              <w:jc w:val="both"/>
              <w:rPr>
                <w:lang w:eastAsia="en-US"/>
              </w:rPr>
            </w:pPr>
            <w:r>
              <w:rPr>
                <w:lang w:eastAsia="en-US"/>
              </w:rPr>
              <w:t xml:space="preserve">УПЗ</w:t>
            </w:r>
            <w:r>
              <w:rPr>
                <w:lang w:eastAsia="en-US"/>
              </w:rPr>
            </w:r>
          </w:p>
        </w:tc>
        <w:tc>
          <w:tcPr>
            <w:tcW w:w="6650" w:type="dxa"/>
            <w:textDirection w:val="lrTb"/>
            <w:noWrap w:val="false"/>
          </w:tcPr>
          <w:p>
            <w:pPr>
              <w:jc w:val="both"/>
              <w:rPr>
                <w:bCs/>
                <w:lang w:eastAsia="en-US"/>
              </w:rPr>
            </w:pPr>
            <w:r>
              <w:rPr>
                <w:bCs/>
                <w:lang w:eastAsia="en-US"/>
              </w:rPr>
              <w:t xml:space="preserve">Установки противопожарной защиты</w:t>
            </w:r>
            <w:r>
              <w:rPr>
                <w:bCs/>
                <w:lang w:eastAsia="en-US"/>
              </w:rPr>
            </w:r>
          </w:p>
        </w:tc>
      </w:tr>
    </w:tbl>
    <w:p>
      <w:pPr>
        <w:jc w:val="both"/>
        <w:rPr>
          <w:lang w:eastAsia="en-US"/>
        </w:rPr>
      </w:pPr>
      <w:r>
        <w:rPr>
          <w:lang w:eastAsia="en-US"/>
        </w:rPr>
      </w:r>
      <w:r>
        <w:rPr>
          <w:lang w:eastAsia="en-US"/>
        </w:rPr>
      </w:r>
    </w:p>
    <w:p>
      <w:pPr>
        <w:pStyle w:val="1142"/>
        <w:numPr>
          <w:ilvl w:val="0"/>
          <w:numId w:val="50"/>
        </w:numPr>
        <w:ind w:left="0" w:firstLine="709"/>
        <w:jc w:val="both"/>
        <w:tabs>
          <w:tab w:val="left" w:pos="1276" w:leader="none"/>
        </w:tabs>
        <w:rPr>
          <w:rFonts w:ascii="Times New Roman" w:hAnsi="Times New Roman" w:cs="Times New Roman"/>
          <w:b/>
          <w:bCs/>
          <w:sz w:val="32"/>
          <w:szCs w:val="32"/>
        </w:rPr>
        <w:outlineLvl w:val="0"/>
      </w:pPr>
      <w:r>
        <w:rPr>
          <w:lang w:eastAsia="en-US"/>
        </w:rPr>
        <w:br w:type="page" w:clear="all"/>
      </w:r>
      <w:r>
        <w:rPr>
          <w:lang w:eastAsia="en-US"/>
        </w:rPr>
        <w:tab/>
      </w:r>
      <w:bookmarkStart w:id="27" w:name="Общие_принципы_организации_ПБ_3"/>
      <w:r/>
      <w:bookmarkStart w:id="28" w:name="_Toc124499089"/>
      <w:r>
        <w:rPr>
          <w:rFonts w:ascii="Times New Roman" w:hAnsi="Times New Roman" w:cs="Times New Roman"/>
          <w:b/>
          <w:sz w:val="32"/>
          <w:szCs w:val="32"/>
        </w:rPr>
        <w:t xml:space="preserve">Общие принципы организации и о</w:t>
      </w:r>
      <w:r>
        <w:rPr>
          <w:rFonts w:ascii="Times New Roman" w:hAnsi="Times New Roman" w:cs="Times New Roman"/>
          <w:b/>
          <w:bCs/>
          <w:sz w:val="32"/>
          <w:szCs w:val="32"/>
        </w:rPr>
        <w:t xml:space="preserve">беспечения пожарной безопасности на объектах </w:t>
      </w:r>
      <w:bookmarkEnd w:id="27"/>
      <w:r/>
      <w:bookmarkEnd w:id="28"/>
      <w:r>
        <w:rPr>
          <w:rFonts w:ascii="Times New Roman" w:hAnsi="Times New Roman" w:cs="Times New Roman"/>
          <w:b/>
          <w:bCs/>
          <w:sz w:val="32"/>
          <w:szCs w:val="32"/>
        </w:rPr>
        <w:t xml:space="preserve">ПАО «Россети»</w:t>
      </w:r>
      <w:r>
        <w:rPr>
          <w:rFonts w:ascii="Times New Roman" w:hAnsi="Times New Roman" w:cs="Times New Roman"/>
          <w:b/>
          <w:bCs/>
          <w:sz w:val="32"/>
          <w:szCs w:val="32"/>
        </w:rPr>
      </w:r>
    </w:p>
    <w:p>
      <w:pPr>
        <w:pStyle w:val="1142"/>
        <w:ind w:left="851" w:firstLine="709"/>
        <w:jc w:val="both"/>
        <w:tabs>
          <w:tab w:val="left" w:pos="1276" w:leader="none"/>
        </w:tabs>
        <w:rPr>
          <w:rFonts w:ascii="Times New Roman" w:hAnsi="Times New Roman" w:cs="Times New Roman"/>
          <w:b/>
          <w:bCs/>
          <w:sz w:val="32"/>
          <w:szCs w:val="32"/>
        </w:rPr>
      </w:pPr>
      <w:r>
        <w:rPr>
          <w:rFonts w:ascii="Times New Roman" w:hAnsi="Times New Roman" w:cs="Times New Roman"/>
          <w:b/>
          <w:bCs/>
          <w:sz w:val="32"/>
          <w:szCs w:val="32"/>
        </w:rPr>
      </w:r>
      <w:r>
        <w:rPr>
          <w:rFonts w:ascii="Times New Roman" w:hAnsi="Times New Roman" w:cs="Times New Roman"/>
          <w:b/>
          <w:bCs/>
          <w:sz w:val="32"/>
          <w:szCs w:val="32"/>
        </w:rPr>
      </w:r>
    </w:p>
    <w:p>
      <w:pPr>
        <w:pStyle w:val="1142"/>
        <w:numPr>
          <w:ilvl w:val="0"/>
          <w:numId w:val="38"/>
        </w:numPr>
        <w:ind w:left="0" w:firstLine="709"/>
        <w:jc w:val="both"/>
        <w:tabs>
          <w:tab w:val="left" w:pos="1418" w:leader="none"/>
        </w:tabs>
        <w:rPr>
          <w:rFonts w:ascii="Times New Roman" w:hAnsi="Times New Roman" w:cs="Times New Roman"/>
          <w:b/>
          <w:bCs/>
          <w:sz w:val="28"/>
          <w:szCs w:val="28"/>
        </w:rPr>
        <w:outlineLvl w:val="1"/>
      </w:pPr>
      <w:r/>
      <w:bookmarkStart w:id="29" w:name="Организационные_требования_ПБ_3_1"/>
      <w:r/>
      <w:bookmarkStart w:id="30" w:name="_Toc112328554"/>
      <w:r/>
      <w:bookmarkStart w:id="31" w:name="_Toc124499090"/>
      <w:r>
        <w:rPr>
          <w:rFonts w:ascii="Times New Roman" w:hAnsi="Times New Roman" w:cs="Times New Roman"/>
          <w:b/>
          <w:bCs/>
          <w:sz w:val="28"/>
          <w:szCs w:val="28"/>
        </w:rPr>
        <w:t xml:space="preserve">Организационные требования пожарной безопасности</w:t>
      </w:r>
      <w:bookmarkEnd w:id="29"/>
      <w:r/>
      <w:bookmarkEnd w:id="30"/>
      <w:r/>
      <w:bookmarkEnd w:id="31"/>
      <w:r/>
      <w:r>
        <w:rPr>
          <w:rFonts w:ascii="Times New Roman" w:hAnsi="Times New Roman" w:cs="Times New Roman"/>
          <w:b/>
          <w:bCs/>
          <w:sz w:val="28"/>
          <w:szCs w:val="28"/>
        </w:rPr>
      </w:r>
    </w:p>
    <w:p>
      <w:pPr>
        <w:pStyle w:val="1142"/>
        <w:ind w:left="851" w:firstLine="709"/>
        <w:jc w:val="both"/>
        <w:tabs>
          <w:tab w:val="left" w:pos="1701" w:leader="none"/>
        </w:tabs>
        <w:rPr>
          <w:rFonts w:ascii="Times New Roman" w:hAnsi="Times New Roman" w:cs="Times New Roman"/>
          <w:b/>
          <w:bCs/>
          <w:sz w:val="24"/>
          <w:szCs w:val="24"/>
        </w:rPr>
      </w:pPr>
      <w:r>
        <w:rPr>
          <w:rFonts w:ascii="Times New Roman" w:hAnsi="Times New Roman" w:cs="Times New Roman"/>
          <w:b/>
          <w:bCs/>
          <w:sz w:val="24"/>
          <w:szCs w:val="24"/>
        </w:rPr>
      </w:r>
      <w:r>
        <w:rPr>
          <w:rFonts w:ascii="Times New Roman" w:hAnsi="Times New Roman" w:cs="Times New Roman"/>
          <w:b/>
          <w:bCs/>
          <w:sz w:val="24"/>
          <w:szCs w:val="24"/>
        </w:rPr>
      </w:r>
    </w:p>
    <w:p>
      <w:pPr>
        <w:pStyle w:val="1143"/>
        <w:numPr>
          <w:ilvl w:val="2"/>
          <w:numId w:val="50"/>
        </w:numPr>
        <w:ind w:left="0" w:firstLine="709"/>
        <w:jc w:val="both"/>
        <w:tabs>
          <w:tab w:val="left" w:pos="1701" w:leader="none"/>
        </w:tabs>
        <w:rPr>
          <w:sz w:val="28"/>
          <w:szCs w:val="28"/>
        </w:rPr>
      </w:pPr>
      <w:r>
        <w:rPr>
          <w:sz w:val="28"/>
          <w:szCs w:val="28"/>
        </w:rPr>
        <w:t xml:space="preserve">На здания, сооружения и строения, введенные в эксплуатацию до дня вступления в силу Федерального закона </w:t>
      </w:r>
      <w:hyperlink r:id="rId33" w:tooltip="&quot;Технический регламент о требованиях пожарной безопасности (с изменениями на 25 декабря 2023 года)&quot;Федеральный закон от 22.07.2008 N 123-ФЗСтатус: Действующая редакция документа (действ. c 05.01.2024)" w:history="1">
        <w:r>
          <w:rPr>
            <w:rStyle w:val="1111"/>
            <w:color w:val="0000aa"/>
            <w:sz w:val="28"/>
            <w:szCs w:val="28"/>
          </w:rPr>
          <w:t xml:space="preserve">от 22.07.2008 № 12</w:t>
        </w:r>
        <w:bookmarkStart w:id="32" w:name="_Hlt192859332"/>
        <w:bookmarkStart w:id="33" w:name="_Hlt192859333"/>
        <w:r>
          <w:rPr>
            <w:rStyle w:val="1111"/>
            <w:color w:val="0000aa"/>
            <w:sz w:val="28"/>
            <w:szCs w:val="28"/>
          </w:rPr>
          <w:t xml:space="preserve">3</w:t>
        </w:r>
        <w:bookmarkEnd w:id="32"/>
        <w:bookmarkEnd w:id="33"/>
        <w:r>
          <w:rPr>
            <w:rStyle w:val="1111"/>
            <w:color w:val="0000aa"/>
            <w:sz w:val="28"/>
            <w:szCs w:val="28"/>
          </w:rPr>
          <w:t xml:space="preserve">-ФЗ</w:t>
        </w:r>
      </w:hyperlink>
      <w:r>
        <w:rPr>
          <w:sz w:val="28"/>
          <w:szCs w:val="28"/>
        </w:rPr>
        <w:t xml:space="preserve"> «Технический регламент о требованиях пожарной безопасности» (далее - 123-ФЗ), или в том случае, если на данные объекты защиты проектная документация была направлена на экспертизу до д</w:t>
      </w:r>
      <w:r>
        <w:rPr>
          <w:sz w:val="28"/>
          <w:szCs w:val="28"/>
        </w:rPr>
        <w:t xml:space="preserve">ня вступления в силу 123-ФЗ, распространяются требования ранее действующих нормативно-технических документов по пожарной безопасности (СНиП, НПБ и т.д.), за исключением отдельных положений 123-ФЗ, которые обязательны для исполнения на всех объектах защиты.</w:t>
      </w:r>
      <w:r>
        <w:rPr>
          <w:sz w:val="28"/>
          <w:szCs w:val="28"/>
        </w:rPr>
      </w:r>
    </w:p>
    <w:p>
      <w:pPr>
        <w:pStyle w:val="1143"/>
        <w:ind w:firstLine="709"/>
        <w:jc w:val="both"/>
        <w:tabs>
          <w:tab w:val="left" w:pos="1701" w:leader="none"/>
        </w:tabs>
        <w:rPr>
          <w:sz w:val="28"/>
          <w:szCs w:val="28"/>
        </w:rPr>
      </w:pPr>
      <w:r>
        <w:rPr>
          <w:sz w:val="28"/>
          <w:szCs w:val="28"/>
        </w:rPr>
        <w:t xml:space="preserve">В от</w:t>
      </w:r>
      <w:r>
        <w:rPr>
          <w:sz w:val="28"/>
          <w:szCs w:val="28"/>
        </w:rPr>
        <w:t xml:space="preserve">ношении объектов защиты, на которых были проведены капитальный ремонт, реконструкция или техническое перевооружение, требования 123-ФЗ применяются в части, соответствующей объему работ по капитальному ремонту, реконструкции или техническому перевооружению.</w:t>
      </w:r>
      <w:r>
        <w:rPr>
          <w:sz w:val="28"/>
          <w:szCs w:val="28"/>
        </w:rPr>
      </w:r>
    </w:p>
    <w:p>
      <w:pPr>
        <w:pStyle w:val="1143"/>
        <w:numPr>
          <w:ilvl w:val="2"/>
          <w:numId w:val="50"/>
        </w:numPr>
        <w:ind w:left="0" w:firstLine="709"/>
        <w:jc w:val="both"/>
        <w:tabs>
          <w:tab w:val="left" w:pos="1701" w:leader="none"/>
        </w:tabs>
        <w:rPr>
          <w:sz w:val="28"/>
          <w:szCs w:val="28"/>
        </w:rPr>
      </w:pPr>
      <w:r>
        <w:rPr>
          <w:sz w:val="28"/>
          <w:szCs w:val="28"/>
        </w:rPr>
        <w:t xml:space="preserve">Руководитель Филиала осуществляет непосредственное руководство системой обеспечения пожарной безопасности в пределах своей компетенции на объектах Филиала и несет персональную ответс</w:t>
      </w:r>
      <w:r>
        <w:rPr>
          <w:sz w:val="28"/>
          <w:szCs w:val="28"/>
        </w:rPr>
        <w:t xml:space="preserve">твенность за соблюдение требований пожарной безопасности. Руководитель Филиала вправе назначать работников, которые по занимаемой должности или по характеру выполняемых работ, являются ответственными за обеспечение пожарной безопасности на объекте защиты. </w:t>
      </w:r>
      <w:r>
        <w:rPr>
          <w:sz w:val="28"/>
          <w:szCs w:val="28"/>
        </w:rPr>
      </w:r>
    </w:p>
    <w:p>
      <w:pPr>
        <w:pStyle w:val="1142"/>
        <w:numPr>
          <w:ilvl w:val="2"/>
          <w:numId w:val="50"/>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Руководители Филиалов обязаны обеспечить:</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Изучение и выполнение настоящих Руководящих указаний всеми руководителями, специалистами и рабочими в объеме, предусмотренном должностными обязанностями и производственными инструкциями (трудовыми функциями).</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Обучение подчиненных работников мерам пожарной безопасности.</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Ведение организационно-профилактической деятельности в области пожарной безопасности в соответствии с принятой организационной структурой и СВТК. Реализацию функцион</w:t>
      </w:r>
      <w:r>
        <w:rPr>
          <w:rFonts w:ascii="Times New Roman" w:hAnsi="Times New Roman"/>
          <w:sz w:val="28"/>
          <w:szCs w:val="28"/>
        </w:rPr>
        <w:t xml:space="preserve">ирования системы контроля соблюдения требований пожарной безопасности, установленных законодательными и иными нормативными правовыми актами Российской Федерации, нормативными правовыми актами МЧС России, стандартами, нормативными документами ПАО «Россети».</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Установление инструкцией о мерах пожарной безопасности </w:t>
      </w:r>
      <w:r>
        <w:rPr>
          <w:rFonts w:ascii="Times New Roman" w:hAnsi="Times New Roman"/>
          <w:sz w:val="28"/>
          <w:szCs w:val="28"/>
        </w:rPr>
        <w:t xml:space="preserve">для каждого здания, сооружения либо группы однотипных по функциональному назначению и пожарной нагрузке зданий и сооружений, расположенных по одному адресу, соответствующий его пожарной опасности противопожарный режим.</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Установление ОРД конкретного порядка организации и проведения сварочных и других огневых работ подчиненным персоналом, а также определение способов и порядка контроля за проведением сварочных и других огневых работ персоналом сторонних организаций.</w:t>
      </w:r>
      <w:r>
        <w:rPr>
          <w:rFonts w:ascii="Times New Roman" w:hAnsi="Times New Roman" w:cs="Times New Roman"/>
          <w:sz w:val="28"/>
          <w:szCs w:val="28"/>
        </w:rPr>
      </w:r>
    </w:p>
    <w:p>
      <w:pPr>
        <w:pStyle w:val="1142"/>
        <w:numPr>
          <w:ilvl w:val="3"/>
          <w:numId w:val="50"/>
        </w:numPr>
        <w:ind w:left="0" w:firstLine="709"/>
        <w:jc w:val="both"/>
        <w:tabs>
          <w:tab w:val="left" w:pos="993"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Проведение регламентных работ по ТО и ППР систем противопожарной защиты зданий и сооружений в соответствии с годовым планом-графиком, составляемым с учетом технической документации заводов-изготовителей и сроками выполнения ремонтных работ.</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Периодичность проведения п</w:t>
      </w:r>
      <w:r>
        <w:rPr>
          <w:rFonts w:ascii="Times New Roman" w:hAnsi="Times New Roman" w:cs="Times New Roman"/>
          <w:sz w:val="28"/>
          <w:szCs w:val="28"/>
        </w:rPr>
        <w:t xml:space="preserve">роверок состояния пожарной безопасности объектов, исправность и работоспособность технических средств обнаружения и тушения пожара, систем противопожарного водоснабжения, систем оповещения и других систем противопожарной защиты, установленную нормативными </w:t>
      </w:r>
      <w:r>
        <w:rPr>
          <w:rFonts w:ascii="Times New Roman" w:hAnsi="Times New Roman" w:cs="Times New Roman"/>
          <w:sz w:val="28"/>
          <w:szCs w:val="28"/>
        </w:rPr>
        <w:t xml:space="preserve">документами по пожарной безопасности и внутренними ОРД Филиала. Реализацию по результатам проверок необходимых мер по устранению обнаруженных нарушений требований пожарной безопасности и приведению в работоспособное состояние систем противопожарной защиты.</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Назначение лиц, ответственных за пожарную безопасность по каждому объекту, соответствующих квал</w:t>
      </w:r>
      <w:r>
        <w:rPr>
          <w:rFonts w:ascii="Times New Roman" w:hAnsi="Times New Roman" w:cs="Times New Roman"/>
          <w:sz w:val="28"/>
          <w:szCs w:val="28"/>
        </w:rPr>
        <w:t xml:space="preserve">ификационным требованиям, указанным в  профессиональном стандарте «Специалист по пожарной профилактике», разграничение зон обслуживания между подразделениями для постоянного надзора работниками Филиала за техническим состоянием, ремонтом и нормальной экспл</w:t>
      </w:r>
      <w:r>
        <w:rPr>
          <w:rFonts w:ascii="Times New Roman" w:hAnsi="Times New Roman" w:cs="Times New Roman"/>
          <w:sz w:val="28"/>
          <w:szCs w:val="28"/>
        </w:rPr>
        <w:t xml:space="preserve">уатацией оборудования противопожарного водоснабжения, установок обнаружения и тушения пожара, а также других средств противопожарной защиты и пожарной техники. Трудовые функции таких ответственных лиц установлены указанным выше профессиональным стандартом.</w:t>
      </w:r>
      <w:r>
        <w:rPr>
          <w:rFonts w:ascii="Times New Roman" w:hAnsi="Times New Roman" w:cs="Times New Roman"/>
          <w:sz w:val="28"/>
          <w:szCs w:val="28"/>
        </w:rPr>
      </w:r>
    </w:p>
    <w:p>
      <w:pPr>
        <w:pStyle w:val="1142"/>
        <w:numPr>
          <w:ilvl w:val="4"/>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Лицами, ответственными за пожарную безопасность административных и офисных з</w:t>
      </w:r>
      <w:r>
        <w:rPr>
          <w:rFonts w:ascii="Times New Roman" w:hAnsi="Times New Roman" w:cs="Times New Roman"/>
          <w:sz w:val="28"/>
          <w:szCs w:val="28"/>
        </w:rPr>
        <w:t xml:space="preserve">даний (аппаратов управления) и сооружений назначаются руководители подразделений, ответственных за эксплуатацию и техническое состояние данных зданий и сооружений (персонал подразделений эксплуатации зданий и сооружений, хозяйственного обеспечения и т.п.).</w:t>
      </w:r>
      <w:r>
        <w:rPr>
          <w:rFonts w:ascii="Times New Roman" w:hAnsi="Times New Roman" w:cs="Times New Roman"/>
          <w:sz w:val="28"/>
          <w:szCs w:val="28"/>
        </w:rPr>
      </w:r>
    </w:p>
    <w:p>
      <w:pPr>
        <w:pStyle w:val="1142"/>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случае аренды зданий и сооружений, данная ответственность возлагается как на подразделения арендодателя, так и подразделения арендатора, при </w:t>
      </w:r>
      <w:r>
        <w:rPr>
          <w:rFonts w:ascii="Times New Roman" w:hAnsi="Times New Roman" w:cs="Times New Roman"/>
          <w:sz w:val="28"/>
          <w:szCs w:val="28"/>
        </w:rPr>
        <w:t xml:space="preserve">этом разграничение сфер ответственности должно быть отражено в договоре аренды. В акте приема-передачи должны быть указаны характеристики систем противопожарной защиты (в том числе УПЗ), переданные в пользование арендатору вместе с арендованным имуществом.</w:t>
      </w:r>
      <w:r>
        <w:rPr>
          <w:rFonts w:ascii="Times New Roman" w:hAnsi="Times New Roman" w:cs="Times New Roman"/>
          <w:sz w:val="28"/>
          <w:szCs w:val="28"/>
        </w:rPr>
      </w:r>
    </w:p>
    <w:p>
      <w:pPr>
        <w:pStyle w:val="1142"/>
        <w:numPr>
          <w:ilvl w:val="4"/>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Ответственность за обеспечение пожарной безопасности объектов защиты</w:t>
      </w:r>
      <w:r>
        <w:rPr>
          <w:rFonts w:ascii="Times New Roman" w:hAnsi="Times New Roman"/>
          <w:sz w:val="28"/>
          <w:szCs w:val="28"/>
        </w:rPr>
        <w:t xml:space="preserve"> производственного, складского назначения и других вспомогательных зданий и сооружений (лабораторий, мастерских, объектов транспортной инфраструктуры и др.) </w:t>
      </w:r>
      <w:r>
        <w:rPr>
          <w:rFonts w:ascii="Times New Roman" w:hAnsi="Times New Roman" w:cs="Times New Roman"/>
          <w:sz w:val="28"/>
          <w:szCs w:val="28"/>
        </w:rPr>
        <w:t xml:space="preserve">возлагается на </w:t>
      </w:r>
      <w:r>
        <w:rPr>
          <w:rFonts w:ascii="Times New Roman" w:hAnsi="Times New Roman"/>
          <w:sz w:val="28"/>
          <w:szCs w:val="28"/>
        </w:rPr>
        <w:t xml:space="preserve">руководителей структурных подразделений, в чьей зоне ответственности находятся данные объекты. </w:t>
      </w:r>
      <w:r>
        <w:rPr>
          <w:rFonts w:ascii="Times New Roman" w:hAnsi="Times New Roman" w:cs="Times New Roman"/>
          <w:sz w:val="28"/>
          <w:szCs w:val="28"/>
        </w:rPr>
      </w:r>
    </w:p>
    <w:p>
      <w:pPr>
        <w:pStyle w:val="1142"/>
        <w:numPr>
          <w:ilvl w:val="4"/>
          <w:numId w:val="50"/>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При использовании в производственных и иных целях зданий, сооруже</w:t>
      </w:r>
      <w:r>
        <w:rPr>
          <w:rFonts w:ascii="Times New Roman" w:hAnsi="Times New Roman"/>
          <w:sz w:val="28"/>
          <w:szCs w:val="28"/>
        </w:rPr>
        <w:t xml:space="preserve">ний, строений объекта или отдельных помещений одного здания, сооружения или строения разными структурными подразделениями ответственность за соблюдение требований пожарной безопасности в используемых зданиях, сооружениях, строениях или отдельных помещениях</w:t>
      </w:r>
      <w:r>
        <w:rPr>
          <w:rFonts w:ascii="Times New Roman" w:hAnsi="Times New Roman" w:cs="Times New Roman"/>
          <w:sz w:val="28"/>
          <w:szCs w:val="28"/>
        </w:rPr>
        <w:t xml:space="preserve"> может </w:t>
      </w:r>
      <w:r>
        <w:rPr>
          <w:rFonts w:ascii="Times New Roman" w:hAnsi="Times New Roman"/>
          <w:sz w:val="28"/>
          <w:szCs w:val="28"/>
        </w:rPr>
        <w:t xml:space="preserve">возлагаться на руководителя каждого такого подразделения, </w:t>
      </w:r>
      <w:r>
        <w:rPr>
          <w:rFonts w:ascii="Times New Roman" w:hAnsi="Times New Roman" w:cs="Times New Roman"/>
          <w:sz w:val="28"/>
          <w:szCs w:val="28"/>
        </w:rPr>
        <w:t xml:space="preserve">при этом разграничение сфер ответственности </w:t>
      </w:r>
      <w:r>
        <w:rPr>
          <w:rFonts w:ascii="Times New Roman" w:hAnsi="Times New Roman"/>
          <w:sz w:val="28"/>
          <w:szCs w:val="28"/>
        </w:rPr>
        <w:t xml:space="preserve">устанавливается ОРД Филиала.</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Соблюдение на объектах защиты установленного противопожарного режима, выполнение противопожарных мероприятий, изложенных</w:t>
      </w:r>
      <w:r>
        <w:rPr>
          <w:rFonts w:ascii="Times New Roman" w:hAnsi="Times New Roman" w:cs="Times New Roman"/>
          <w:sz w:val="28"/>
          <w:szCs w:val="28"/>
        </w:rPr>
        <w:t xml:space="preserve"> в предписаниях ведомственного надзора и органов МЧС России по вопросам пожарной безопасности.</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 Информирование в</w:t>
      </w:r>
      <w:r>
        <w:rPr>
          <w:rFonts w:ascii="Times New Roman" w:hAnsi="Times New Roman" w:cs="Times New Roman"/>
          <w:sz w:val="28"/>
          <w:szCs w:val="28"/>
        </w:rPr>
        <w:t xml:space="preserve">ышестоящей организации о произошедших пожарах на подведомственных объектах и назначение комиссии для установления причин пожара и разработки противопожарных мероприятий в соответствии с действующими отраслевыми организационно-распорядительными документами.</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 Установление порядка выдачи письменного допуска для тушения пожаров в электроустановках и на электрооборудовании подразделениям пожарной охраны применительно к организационной структуре Филиала.</w:t>
      </w:r>
      <w:r>
        <w:rPr>
          <w:rFonts w:ascii="Times New Roman" w:hAnsi="Times New Roman" w:cs="Times New Roman"/>
          <w:sz w:val="28"/>
          <w:szCs w:val="28"/>
        </w:rPr>
      </w:r>
    </w:p>
    <w:p>
      <w:pPr>
        <w:pStyle w:val="1142"/>
        <w:numPr>
          <w:ilvl w:val="3"/>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 Организацию работы специалистов структурных подразделений Филиала, контролирующих вопросы пожарной безопасности, в соответствии с профессиональным стандартом «Специалист по пожарной профилактике».</w:t>
      </w:r>
      <w:r>
        <w:rPr>
          <w:rFonts w:ascii="Times New Roman" w:hAnsi="Times New Roman" w:cs="Times New Roman"/>
          <w:sz w:val="28"/>
          <w:szCs w:val="28"/>
        </w:rPr>
      </w:r>
    </w:p>
    <w:p>
      <w:pPr>
        <w:pStyle w:val="1142"/>
        <w:numPr>
          <w:ilvl w:val="2"/>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Филиале в целях совершенствования уровня пожарной безопасности, предотвращения возможных загораний и пожаров на объектах защиты, минимизации ущерба от пожаров, разработки противопожарных мероприятий и для реш</w:t>
      </w:r>
      <w:r>
        <w:rPr>
          <w:rFonts w:ascii="Times New Roman" w:hAnsi="Times New Roman" w:cs="Times New Roman"/>
          <w:sz w:val="28"/>
          <w:szCs w:val="28"/>
        </w:rPr>
        <w:t xml:space="preserve">ения других задач в области обеспечения пожарной безопасности объектов защиты по решению руководителя Филиала могут создаваться ПТК. При создании ПТК ее работа должна проводиться на плановой основе в соответствии с разработанным в Филиале положением о ПТК.</w:t>
      </w:r>
      <w:r>
        <w:rPr>
          <w:rFonts w:ascii="Times New Roman" w:hAnsi="Times New Roman" w:cs="Times New Roman"/>
          <w:sz w:val="28"/>
          <w:szCs w:val="28"/>
        </w:rPr>
      </w:r>
    </w:p>
    <w:p>
      <w:pPr>
        <w:pStyle w:val="1142"/>
        <w:numPr>
          <w:ilvl w:val="2"/>
          <w:numId w:val="5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Работники, виновные в нарушении требований пожарной безопасности, несут ответственность в соответствии с действующим законодательством РФ.</w:t>
      </w:r>
      <w:r>
        <w:rPr>
          <w:rFonts w:ascii="Times New Roman" w:hAnsi="Times New Roman" w:cs="Times New Roman"/>
          <w:sz w:val="28"/>
          <w:szCs w:val="28"/>
        </w:rPr>
      </w:r>
    </w:p>
    <w:p>
      <w:pPr>
        <w:pStyle w:val="1143"/>
        <w:jc w:val="both"/>
        <w:tabs>
          <w:tab w:val="left" w:pos="1418" w:leader="none"/>
        </w:tabs>
        <w:rPr>
          <w:sz w:val="28"/>
          <w:szCs w:val="28"/>
        </w:rPr>
      </w:pPr>
      <w:r>
        <w:rPr>
          <w:sz w:val="28"/>
          <w:szCs w:val="28"/>
        </w:rPr>
      </w:r>
      <w:r>
        <w:rPr>
          <w:sz w:val="28"/>
          <w:szCs w:val="28"/>
        </w:rPr>
      </w:r>
    </w:p>
    <w:p>
      <w:pPr>
        <w:pStyle w:val="1180"/>
        <w:numPr>
          <w:ilvl w:val="1"/>
          <w:numId w:val="50"/>
        </w:numPr>
        <w:ind w:left="0" w:firstLine="709"/>
        <w:jc w:val="both"/>
        <w:spacing w:before="0" w:beforeAutospacing="0" w:after="0" w:afterAutospacing="0"/>
        <w:tabs>
          <w:tab w:val="left" w:pos="1276" w:leader="none"/>
        </w:tabs>
        <w:rPr>
          <w:b/>
          <w:sz w:val="28"/>
          <w:szCs w:val="28"/>
        </w:rPr>
        <w:outlineLvl w:val="1"/>
      </w:pPr>
      <w:r/>
      <w:bookmarkStart w:id="34" w:name="Организация_обучения_ПБ_3_2"/>
      <w:r/>
      <w:bookmarkStart w:id="35" w:name="_Toc112328555"/>
      <w:r/>
      <w:bookmarkStart w:id="36" w:name="_Toc124499091"/>
      <w:r>
        <w:rPr>
          <w:b/>
          <w:sz w:val="28"/>
          <w:szCs w:val="28"/>
        </w:rPr>
        <w:t xml:space="preserve">Организация обучения мерам пожарной безопасности</w:t>
      </w:r>
      <w:bookmarkEnd w:id="34"/>
      <w:r/>
      <w:bookmarkEnd w:id="35"/>
      <w:r/>
      <w:bookmarkEnd w:id="36"/>
      <w:r/>
      <w:r>
        <w:rPr>
          <w:b/>
          <w:sz w:val="28"/>
          <w:szCs w:val="28"/>
        </w:rPr>
      </w:r>
    </w:p>
    <w:p>
      <w:pPr>
        <w:pStyle w:val="1180"/>
        <w:ind w:left="709"/>
        <w:jc w:val="both"/>
        <w:spacing w:before="0" w:beforeAutospacing="0" w:after="0" w:afterAutospacing="0"/>
        <w:tabs>
          <w:tab w:val="left" w:pos="1701" w:leader="none"/>
        </w:tabs>
        <w:rPr>
          <w:b/>
          <w:sz w:val="28"/>
          <w:szCs w:val="28"/>
        </w:rPr>
      </w:pPr>
      <w:r>
        <w:rPr>
          <w:b/>
          <w:sz w:val="28"/>
          <w:szCs w:val="28"/>
        </w:rPr>
      </w:r>
      <w:r>
        <w:rPr>
          <w:b/>
          <w:sz w:val="28"/>
          <w:szCs w:val="28"/>
        </w:rPr>
      </w:r>
    </w:p>
    <w:p>
      <w:pPr>
        <w:pStyle w:val="1180"/>
        <w:numPr>
          <w:ilvl w:val="0"/>
          <w:numId w:val="24"/>
        </w:numPr>
        <w:ind w:left="0" w:firstLine="709"/>
        <w:jc w:val="both"/>
        <w:spacing w:before="0" w:beforeAutospacing="0" w:after="0" w:afterAutospacing="0"/>
        <w:tabs>
          <w:tab w:val="left" w:pos="1701" w:leader="none"/>
        </w:tabs>
        <w:rPr>
          <w:sz w:val="28"/>
          <w:szCs w:val="28"/>
        </w:rPr>
      </w:pPr>
      <w:r>
        <w:rPr>
          <w:sz w:val="28"/>
          <w:szCs w:val="28"/>
        </w:rPr>
        <w:t xml:space="preserve">Руководитель Филиала определяет порядок и сроки обучения персонала мерам пожарной без</w:t>
      </w:r>
      <w:r>
        <w:rPr>
          <w:sz w:val="28"/>
          <w:szCs w:val="28"/>
        </w:rPr>
        <w:t xml:space="preserve">опасности с учетом требований нормативных правовых актов Российской Федерации. Обучение работников мерам пожарной безопасности должно осуществляться по программам противопожарного инструктажа или дополнительным профессиональным программам в соответствии с:</w:t>
      </w:r>
      <w:r>
        <w:rPr>
          <w:sz w:val="28"/>
          <w:szCs w:val="28"/>
        </w:rPr>
      </w:r>
    </w:p>
    <w:p>
      <w:pPr>
        <w:pStyle w:val="1180"/>
        <w:numPr>
          <w:ilvl w:val="0"/>
          <w:numId w:val="46"/>
        </w:numPr>
        <w:ind w:left="0" w:firstLine="567"/>
        <w:jc w:val="both"/>
        <w:spacing w:before="0" w:beforeAutospacing="0" w:after="0" w:afterAutospacing="0"/>
        <w:tabs>
          <w:tab w:val="left" w:pos="1701" w:leader="none"/>
        </w:tabs>
        <w:rPr>
          <w:sz w:val="28"/>
          <w:szCs w:val="28"/>
        </w:rPr>
      </w:pPr>
      <w:r>
        <w:rPr>
          <w:sz w:val="28"/>
          <w:szCs w:val="28"/>
        </w:rPr>
        <w:t xml:space="preserve">Приказом МЧС России об определении порядка, видов, сроков обучения лиц, осуществляющих трудовую или служебную деятельность, по </w:t>
      </w:r>
      <w:r>
        <w:rPr>
          <w:sz w:val="28"/>
          <w:szCs w:val="28"/>
        </w:rPr>
        <w:t xml:space="preserve">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w:t>
      </w:r>
      <w:r>
        <w:rPr>
          <w:sz w:val="28"/>
          <w:szCs w:val="28"/>
        </w:rPr>
      </w:r>
    </w:p>
    <w:p>
      <w:pPr>
        <w:pStyle w:val="1180"/>
        <w:numPr>
          <w:ilvl w:val="0"/>
          <w:numId w:val="46"/>
        </w:numPr>
        <w:ind w:left="0" w:firstLine="709"/>
        <w:jc w:val="both"/>
        <w:spacing w:before="0" w:beforeAutospacing="0" w:after="0" w:afterAutospacing="0"/>
        <w:tabs>
          <w:tab w:val="left" w:pos="1701" w:leader="none"/>
        </w:tabs>
        <w:rPr>
          <w:sz w:val="28"/>
          <w:szCs w:val="28"/>
        </w:rPr>
      </w:pPr>
      <w:r>
        <w:rPr>
          <w:sz w:val="28"/>
          <w:szCs w:val="28"/>
        </w:rPr>
        <w:t xml:space="preserve">Правилами работы с персоналом в организациях электроэнергетики Российской Федерации, утвержденными приказом Минэнерго России </w:t>
      </w:r>
      <w:hyperlink r:id="rId34" w:tooltip="&quot;Об утверждении Правил работы с персоналом в организациях электроэнергетики Российской Федерации  (с изменениями на 9 декабря 2024 года)&quot;Приказ Минэнерго России от 22.09.2020 N 796Статус: Действующая редакция документа (действ. c 08.01.2025)" w:history="1">
        <w:r>
          <w:rPr>
            <w:rStyle w:val="1111"/>
            <w:color w:val="0000aa"/>
            <w:sz w:val="28"/>
            <w:szCs w:val="28"/>
          </w:rPr>
          <w:t xml:space="preserve">от 22.09.2020 № 796</w:t>
        </w:r>
      </w:hyperlink>
      <w:r>
        <w:rPr>
          <w:sz w:val="28"/>
          <w:szCs w:val="28"/>
        </w:rPr>
        <w:t xml:space="preserve">;</w:t>
      </w:r>
      <w:r>
        <w:rPr>
          <w:sz w:val="28"/>
          <w:szCs w:val="28"/>
        </w:rPr>
      </w:r>
    </w:p>
    <w:p>
      <w:pPr>
        <w:pStyle w:val="1180"/>
        <w:numPr>
          <w:ilvl w:val="0"/>
          <w:numId w:val="46"/>
        </w:numPr>
        <w:ind w:left="0" w:firstLine="709"/>
        <w:jc w:val="both"/>
        <w:spacing w:before="0" w:beforeAutospacing="0" w:after="0" w:afterAutospacing="0"/>
        <w:tabs>
          <w:tab w:val="left" w:pos="1701" w:leader="none"/>
        </w:tabs>
        <w:rPr>
          <w:sz w:val="28"/>
          <w:szCs w:val="28"/>
        </w:rPr>
      </w:pPr>
      <w:r>
        <w:rPr>
          <w:sz w:val="28"/>
          <w:szCs w:val="28"/>
        </w:rPr>
        <w:t xml:space="preserve">Порядком проведения работы с персоналом, утвержденным ОРД ПАО «Россети».</w:t>
      </w:r>
      <w:r>
        <w:rPr>
          <w:sz w:val="28"/>
          <w:szCs w:val="28"/>
        </w:rPr>
      </w:r>
    </w:p>
    <w:p>
      <w:pPr>
        <w:pStyle w:val="1180"/>
        <w:numPr>
          <w:ilvl w:val="0"/>
          <w:numId w:val="24"/>
        </w:numPr>
        <w:ind w:left="0" w:firstLine="709"/>
        <w:jc w:val="both"/>
        <w:spacing w:before="0" w:beforeAutospacing="0" w:after="0" w:afterAutospacing="0"/>
        <w:tabs>
          <w:tab w:val="left" w:pos="1701" w:leader="none"/>
        </w:tabs>
        <w:rPr>
          <w:sz w:val="28"/>
          <w:szCs w:val="28"/>
        </w:rPr>
      </w:pPr>
      <w:r>
        <w:rPr>
          <w:sz w:val="28"/>
          <w:szCs w:val="28"/>
        </w:rPr>
        <w:t xml:space="preserve">Все работники должны проходить обучение по пожарной безопасности </w:t>
      </w:r>
      <w:r>
        <w:rPr>
          <w:sz w:val="28"/>
          <w:szCs w:val="28"/>
        </w:rPr>
        <w:t xml:space="preserve">в целях приобретения и углубления знаний в данной области об опасности технологического процесса, навыков в использовании имеющихся средств пожарной защиты, умения безопасно и правильно действовать при возникновении пожара и оказывать первую помощь пострад</w:t>
      </w:r>
      <w:r>
        <w:rPr>
          <w:sz w:val="28"/>
          <w:szCs w:val="28"/>
        </w:rPr>
        <w:t xml:space="preserve">авшим. Допускается проводить обучение и проверку знаний работников с использованием автоматизированных обучающе-контролирующих систем на базе персональных компьютеров с последующей оценкой знаний, проверяемых по шкале, предусмотренной указанными системами.</w:t>
      </w:r>
      <w:r>
        <w:rPr>
          <w:sz w:val="28"/>
          <w:szCs w:val="28"/>
        </w:rPr>
      </w:r>
    </w:p>
    <w:p>
      <w:pPr>
        <w:pStyle w:val="1180"/>
        <w:numPr>
          <w:ilvl w:val="0"/>
          <w:numId w:val="24"/>
        </w:numPr>
        <w:ind w:left="0" w:firstLine="709"/>
        <w:jc w:val="both"/>
        <w:spacing w:before="0" w:beforeAutospacing="0" w:after="0" w:afterAutospacing="0"/>
        <w:tabs>
          <w:tab w:val="left" w:pos="1701" w:leader="none"/>
        </w:tabs>
        <w:rPr>
          <w:sz w:val="28"/>
          <w:szCs w:val="28"/>
        </w:rPr>
      </w:pPr>
      <w:r>
        <w:rPr>
          <w:bCs/>
          <w:sz w:val="28"/>
          <w:szCs w:val="28"/>
        </w:rPr>
        <w:t xml:space="preserve">Работники допускаются к работе на объекте защиты только</w:t>
      </w:r>
      <w:r>
        <w:rPr>
          <w:bCs/>
          <w:sz w:val="28"/>
          <w:szCs w:val="28"/>
        </w:rPr>
        <w:t xml:space="preserve"> </w:t>
      </w:r>
      <w:r>
        <w:rPr>
          <w:bCs/>
          <w:sz w:val="28"/>
          <w:szCs w:val="28"/>
        </w:rPr>
        <w:t xml:space="preserve">после прохождения обучения мерам пожарной безопасности.</w:t>
      </w:r>
      <w:r>
        <w:rPr>
          <w:bCs/>
          <w:sz w:val="28"/>
          <w:szCs w:val="28"/>
        </w:rPr>
        <w:t xml:space="preserve"> Порядок и сроки обучения устанавливаются Порядком работы с персоналом, который разрабатывается и утверждается ОРД ПАО «Россети».</w:t>
      </w:r>
      <w:r>
        <w:rPr>
          <w:sz w:val="28"/>
          <w:szCs w:val="28"/>
        </w:rPr>
      </w:r>
    </w:p>
    <w:p>
      <w:pPr>
        <w:pStyle w:val="1180"/>
        <w:numPr>
          <w:ilvl w:val="0"/>
          <w:numId w:val="24"/>
        </w:numPr>
        <w:ind w:left="0" w:firstLine="709"/>
        <w:jc w:val="both"/>
        <w:spacing w:before="0" w:beforeAutospacing="0" w:after="0" w:afterAutospacing="0"/>
        <w:tabs>
          <w:tab w:val="left" w:pos="1701" w:leader="none"/>
        </w:tabs>
        <w:rPr>
          <w:sz w:val="28"/>
          <w:szCs w:val="28"/>
        </w:rPr>
      </w:pPr>
      <w:r>
        <w:rPr>
          <w:sz w:val="28"/>
          <w:szCs w:val="28"/>
        </w:rPr>
        <w:t xml:space="preserve">Противопожарный инструктаж должен проводиться с целью доведения до работни</w:t>
      </w:r>
      <w:r>
        <w:rPr>
          <w:sz w:val="28"/>
          <w:szCs w:val="28"/>
        </w:rPr>
        <w:t xml:space="preserve">ков обязательных требований пожарной безопасности, изучения пожарной опасности технологических процессов, производств и оборудования, систем предотвращения пожаров и средств противопожарной защиты, а также действий работников в случае возникновения пожара.</w:t>
      </w:r>
      <w:r>
        <w:rPr>
          <w:sz w:val="28"/>
          <w:szCs w:val="28"/>
        </w:rPr>
      </w:r>
    </w:p>
    <w:p>
      <w:pPr>
        <w:pStyle w:val="1180"/>
        <w:numPr>
          <w:ilvl w:val="0"/>
          <w:numId w:val="24"/>
        </w:numPr>
        <w:ind w:left="0" w:firstLine="709"/>
        <w:jc w:val="both"/>
        <w:spacing w:before="0" w:beforeAutospacing="0" w:after="0" w:afterAutospacing="0"/>
        <w:tabs>
          <w:tab w:val="left" w:pos="1701" w:leader="none"/>
        </w:tabs>
        <w:rPr>
          <w:strike/>
          <w:sz w:val="28"/>
          <w:szCs w:val="28"/>
        </w:rPr>
      </w:pPr>
      <w:r>
        <w:rPr>
          <w:sz w:val="28"/>
          <w:szCs w:val="28"/>
        </w:rPr>
        <w:t xml:space="preserve">Дополнительное профессиональное образование по программам повышения квалификации или программе профессиональной переподготовки в области пожарной безопасности должно проводиться с целью подгото</w:t>
      </w:r>
      <w:r>
        <w:rPr>
          <w:sz w:val="28"/>
          <w:szCs w:val="28"/>
        </w:rPr>
        <w:t xml:space="preserve">вки работников и повышения их профессионального уровня в рамках имеющейся квалификации или для получения ими новой компетенции, необходимой для профессиональной деятельности по исполнению требований по обеспечению пожарной безопасности на объектах защиты. </w:t>
      </w:r>
      <w:r>
        <w:rPr>
          <w:strike/>
          <w:sz w:val="28"/>
          <w:szCs w:val="28"/>
        </w:rPr>
      </w:r>
    </w:p>
    <w:p>
      <w:pPr>
        <w:pStyle w:val="1180"/>
        <w:numPr>
          <w:ilvl w:val="0"/>
          <w:numId w:val="24"/>
        </w:numPr>
        <w:ind w:left="0" w:firstLine="710"/>
        <w:jc w:val="both"/>
        <w:spacing w:before="0" w:beforeAutospacing="0" w:after="0" w:afterAutospacing="0"/>
        <w:tabs>
          <w:tab w:val="left" w:pos="1701" w:leader="none"/>
        </w:tabs>
        <w:rPr>
          <w:strike/>
          <w:sz w:val="28"/>
          <w:szCs w:val="28"/>
        </w:rPr>
      </w:pPr>
      <w:r>
        <w:rPr>
          <w:sz w:val="28"/>
          <w:szCs w:val="28"/>
          <w:lang w:eastAsia="en-US"/>
        </w:rPr>
        <w:t xml:space="preserve">Для обучения правильным, самостоятельным и быстрым действиям в условиях возможного пожара и взаимодействия с пожарными частями (по согласованию), с соответствующим персоналом должны проводиться противопожарные тренировки.</w:t>
      </w:r>
      <w:r>
        <w:rPr>
          <w:strike/>
          <w:sz w:val="28"/>
          <w:szCs w:val="28"/>
        </w:rPr>
      </w:r>
    </w:p>
    <w:p>
      <w:pPr>
        <w:ind w:firstLine="709"/>
        <w:jc w:val="both"/>
        <w:rPr>
          <w:sz w:val="28"/>
          <w:szCs w:val="28"/>
        </w:rPr>
      </w:pPr>
      <w:r>
        <w:rPr>
          <w:sz w:val="28"/>
          <w:szCs w:val="28"/>
        </w:rPr>
        <w:t xml:space="preserve">При проведении противопожарных тренировок особое внимание должно уделяться отработке методов и способов отключения электроустановок, находящихся в зоне усл</w:t>
      </w:r>
      <w:r>
        <w:rPr>
          <w:sz w:val="28"/>
          <w:szCs w:val="28"/>
        </w:rPr>
        <w:t xml:space="preserve">овного пожара, приобретению практических навыков тушения пожаров первичными средствами пожаротушения. Необходимо чередовать противопожарные тренировки на объекте и полигоне (при наличии учебно-тренировочного полигона в Филиале). Требования к организации и </w:t>
      </w:r>
      <w:r>
        <w:rPr>
          <w:sz w:val="28"/>
          <w:szCs w:val="28"/>
        </w:rPr>
        <w:t xml:space="preserve">проведению противопожарных тренировок на объектах ПАО «Россети» содержатся в Порядке проведения работы с персоналом, утвержденным ОРД ПАО «Россети».</w:t>
      </w:r>
      <w:r>
        <w:rPr>
          <w:sz w:val="28"/>
          <w:szCs w:val="28"/>
        </w:rPr>
      </w:r>
    </w:p>
    <w:p>
      <w:pPr>
        <w:ind w:firstLine="709"/>
        <w:jc w:val="both"/>
      </w:pPr>
      <w:r/>
      <w:r/>
    </w:p>
    <w:p>
      <w:pPr>
        <w:pStyle w:val="1180"/>
        <w:numPr>
          <w:ilvl w:val="1"/>
          <w:numId w:val="25"/>
        </w:numPr>
        <w:ind w:left="0" w:firstLine="709"/>
        <w:jc w:val="both"/>
        <w:spacing w:before="0" w:beforeAutospacing="0" w:after="0" w:afterAutospacing="0"/>
        <w:tabs>
          <w:tab w:val="left" w:pos="1276" w:leader="none"/>
        </w:tabs>
        <w:rPr>
          <w:b/>
          <w:sz w:val="28"/>
          <w:szCs w:val="28"/>
        </w:rPr>
        <w:outlineLvl w:val="1"/>
      </w:pPr>
      <w:r/>
      <w:bookmarkStart w:id="37" w:name="Работа_по_проф_и_пред_пожаров_3_3"/>
      <w:r/>
      <w:bookmarkStart w:id="38" w:name="_Toc112328556"/>
      <w:r/>
      <w:bookmarkStart w:id="39" w:name="_Toc124499092"/>
      <w:r>
        <w:rPr>
          <w:b/>
          <w:sz w:val="28"/>
          <w:szCs w:val="28"/>
        </w:rPr>
        <w:t xml:space="preserve">Работа по профилактике нарушений требований пожарной безопасности и предупреждению пожаров</w:t>
      </w:r>
      <w:bookmarkEnd w:id="37"/>
      <w:r/>
      <w:bookmarkEnd w:id="38"/>
      <w:r/>
      <w:bookmarkEnd w:id="39"/>
      <w:r/>
      <w:r>
        <w:rPr>
          <w:b/>
          <w:sz w:val="28"/>
          <w:szCs w:val="28"/>
        </w:rPr>
      </w:r>
    </w:p>
    <w:p>
      <w:pPr>
        <w:pStyle w:val="1180"/>
        <w:ind w:left="709"/>
        <w:jc w:val="both"/>
        <w:spacing w:before="0" w:beforeAutospacing="0" w:after="0" w:afterAutospacing="0"/>
        <w:tabs>
          <w:tab w:val="left" w:pos="1276" w:leader="none"/>
        </w:tabs>
        <w:rPr>
          <w:sz w:val="28"/>
          <w:szCs w:val="28"/>
        </w:rPr>
      </w:pPr>
      <w:r>
        <w:rPr>
          <w:sz w:val="28"/>
          <w:szCs w:val="28"/>
        </w:rPr>
      </w:r>
      <w:r>
        <w:rPr>
          <w:sz w:val="28"/>
          <w:szCs w:val="28"/>
        </w:rPr>
      </w:r>
    </w:p>
    <w:p>
      <w:pPr>
        <w:pStyle w:val="1142"/>
        <w:numPr>
          <w:ilvl w:val="2"/>
          <w:numId w:val="4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Эффективность работы по профилактике и предупреждению пожаров обеспечивается распределением функций и ответственности на всех уровнях управления.</w:t>
      </w:r>
      <w:r>
        <w:rPr>
          <w:rFonts w:ascii="Times New Roman" w:hAnsi="Times New Roman" w:cs="Times New Roman"/>
          <w:sz w:val="28"/>
          <w:szCs w:val="28"/>
        </w:rPr>
      </w:r>
    </w:p>
    <w:p>
      <w:pPr>
        <w:pStyle w:val="1142"/>
        <w:numPr>
          <w:ilvl w:val="2"/>
          <w:numId w:val="4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Основными задачами по профилактике нарушений требований пожарной безопасности и предупреждению пожаров в ПАО «Россети» являются:</w:t>
      </w:r>
      <w:r>
        <w:rPr>
          <w:rFonts w:ascii="Times New Roman" w:hAnsi="Times New Roman" w:cs="Times New Roman"/>
          <w:sz w:val="28"/>
          <w:szCs w:val="28"/>
        </w:rPr>
      </w:r>
    </w:p>
    <w:p>
      <w:pPr>
        <w:numPr>
          <w:ilvl w:val="0"/>
          <w:numId w:val="2"/>
        </w:numPr>
        <w:ind w:left="0" w:firstLine="709"/>
        <w:jc w:val="both"/>
        <w:tabs>
          <w:tab w:val="left" w:pos="1134" w:leader="none"/>
        </w:tabs>
        <w:rPr>
          <w:sz w:val="28"/>
          <w:szCs w:val="28"/>
        </w:rPr>
      </w:pPr>
      <w:r>
        <w:rPr>
          <w:sz w:val="28"/>
          <w:szCs w:val="28"/>
        </w:rPr>
        <w:t xml:space="preserve">эксплуатация объектов защиты в соответствии с проектными решениями и требованиями НТД по пожарной безопасности;</w:t>
      </w:r>
      <w:r>
        <w:rPr>
          <w:sz w:val="28"/>
          <w:szCs w:val="28"/>
        </w:rPr>
      </w:r>
    </w:p>
    <w:p>
      <w:pPr>
        <w:numPr>
          <w:ilvl w:val="0"/>
          <w:numId w:val="2"/>
        </w:numPr>
        <w:ind w:left="0" w:firstLine="709"/>
        <w:jc w:val="both"/>
        <w:tabs>
          <w:tab w:val="left" w:pos="1134" w:leader="none"/>
        </w:tabs>
        <w:rPr>
          <w:sz w:val="28"/>
          <w:szCs w:val="28"/>
        </w:rPr>
      </w:pPr>
      <w:r>
        <w:rPr>
          <w:sz w:val="28"/>
          <w:szCs w:val="28"/>
        </w:rPr>
        <w:t xml:space="preserve">мониторинг состояния пожарной безопасности объектов защиты;</w:t>
      </w:r>
      <w:r>
        <w:rPr>
          <w:sz w:val="28"/>
          <w:szCs w:val="28"/>
        </w:rPr>
      </w:r>
    </w:p>
    <w:p>
      <w:pPr>
        <w:numPr>
          <w:ilvl w:val="0"/>
          <w:numId w:val="2"/>
        </w:numPr>
        <w:ind w:left="0" w:firstLine="709"/>
        <w:jc w:val="both"/>
        <w:tabs>
          <w:tab w:val="left" w:pos="1134" w:leader="none"/>
        </w:tabs>
        <w:rPr>
          <w:sz w:val="28"/>
          <w:szCs w:val="28"/>
        </w:rPr>
      </w:pPr>
      <w:r>
        <w:rPr>
          <w:sz w:val="28"/>
          <w:szCs w:val="28"/>
        </w:rPr>
        <w:t xml:space="preserve">управление рисками в области пожарной безопасности;</w:t>
      </w:r>
      <w:r>
        <w:rPr>
          <w:sz w:val="28"/>
          <w:szCs w:val="28"/>
        </w:rPr>
      </w:r>
    </w:p>
    <w:p>
      <w:pPr>
        <w:numPr>
          <w:ilvl w:val="0"/>
          <w:numId w:val="2"/>
        </w:numPr>
        <w:ind w:left="0" w:firstLine="709"/>
        <w:jc w:val="both"/>
        <w:tabs>
          <w:tab w:val="left" w:pos="1134" w:leader="none"/>
        </w:tabs>
        <w:rPr>
          <w:sz w:val="28"/>
          <w:szCs w:val="28"/>
        </w:rPr>
      </w:pPr>
      <w:r>
        <w:rPr>
          <w:sz w:val="28"/>
          <w:szCs w:val="28"/>
        </w:rPr>
        <w:t xml:space="preserve">обучение работников мерам пожарной безопасности;</w:t>
      </w:r>
      <w:r>
        <w:rPr>
          <w:sz w:val="28"/>
          <w:szCs w:val="28"/>
        </w:rPr>
      </w:r>
    </w:p>
    <w:p>
      <w:pPr>
        <w:numPr>
          <w:ilvl w:val="0"/>
          <w:numId w:val="2"/>
        </w:numPr>
        <w:ind w:left="0" w:firstLine="709"/>
        <w:jc w:val="both"/>
        <w:tabs>
          <w:tab w:val="left" w:pos="1134" w:leader="none"/>
        </w:tabs>
        <w:rPr>
          <w:sz w:val="28"/>
          <w:szCs w:val="28"/>
        </w:rPr>
      </w:pPr>
      <w:r>
        <w:rPr>
          <w:sz w:val="28"/>
          <w:szCs w:val="28"/>
        </w:rPr>
        <w:t xml:space="preserve">взаимодействие с ФОИВ по вопросам обеспечения пожарной безопасности;</w:t>
      </w:r>
      <w:r>
        <w:rPr>
          <w:sz w:val="28"/>
          <w:szCs w:val="28"/>
        </w:rPr>
      </w:r>
    </w:p>
    <w:p>
      <w:pPr>
        <w:numPr>
          <w:ilvl w:val="0"/>
          <w:numId w:val="2"/>
        </w:numPr>
        <w:ind w:left="0" w:firstLine="709"/>
        <w:jc w:val="both"/>
        <w:tabs>
          <w:tab w:val="left" w:pos="1134" w:leader="none"/>
        </w:tabs>
        <w:rPr>
          <w:sz w:val="28"/>
          <w:szCs w:val="28"/>
        </w:rPr>
      </w:pPr>
      <w:r>
        <w:rPr>
          <w:sz w:val="28"/>
          <w:szCs w:val="28"/>
        </w:rPr>
        <w:t xml:space="preserve">координация деятельности объектов электросетевого хозяйства, направленной на предупреждение пожаров и обеспечение готовности к локализации и ликвидации их последствий;</w:t>
      </w:r>
      <w:r>
        <w:rPr>
          <w:sz w:val="28"/>
          <w:szCs w:val="28"/>
        </w:rPr>
      </w:r>
    </w:p>
    <w:p>
      <w:pPr>
        <w:numPr>
          <w:ilvl w:val="0"/>
          <w:numId w:val="2"/>
        </w:numPr>
        <w:ind w:left="0" w:firstLine="709"/>
        <w:jc w:val="both"/>
        <w:tabs>
          <w:tab w:val="left" w:pos="1134" w:leader="none"/>
        </w:tabs>
        <w:rPr>
          <w:sz w:val="28"/>
          <w:szCs w:val="28"/>
        </w:rPr>
      </w:pPr>
      <w:r>
        <w:rPr>
          <w:sz w:val="28"/>
          <w:szCs w:val="28"/>
        </w:rPr>
        <w:t xml:space="preserve">изучение, внедрение и распространение передового опыта в области пожарной безопасности.</w:t>
      </w:r>
      <w:r>
        <w:rPr>
          <w:sz w:val="28"/>
          <w:szCs w:val="28"/>
        </w:rPr>
      </w:r>
    </w:p>
    <w:p>
      <w:pPr>
        <w:pStyle w:val="1142"/>
        <w:numPr>
          <w:ilvl w:val="2"/>
          <w:numId w:val="42"/>
        </w:numPr>
        <w:ind w:left="0" w:firstLine="709"/>
        <w:jc w:val="both"/>
        <w:tabs>
          <w:tab w:val="left" w:pos="1701" w:leader="none"/>
        </w:tabs>
        <w:rPr>
          <w:rFonts w:ascii="Times New Roman" w:hAnsi="Times New Roman" w:cs="Times New Roman"/>
          <w:sz w:val="28"/>
          <w:szCs w:val="28"/>
        </w:rPr>
      </w:pPr>
      <w:r/>
      <w:bookmarkStart w:id="40" w:name="_Toc41474114"/>
      <w:r>
        <w:rPr>
          <w:rFonts w:ascii="Times New Roman" w:hAnsi="Times New Roman" w:cs="Times New Roman"/>
          <w:sz w:val="28"/>
          <w:szCs w:val="28"/>
        </w:rPr>
        <w:t xml:space="preserve">Профилактика и предупреждение пожаров осуществляется в ходе </w:t>
      </w:r>
      <w:r>
        <w:rPr>
          <w:rFonts w:ascii="Times New Roman" w:hAnsi="Times New Roman"/>
          <w:sz w:val="28"/>
          <w:szCs w:val="28"/>
        </w:rPr>
        <w:t xml:space="preserve">проведения проверок противопожарного состояния объектов</w:t>
      </w:r>
      <w:r>
        <w:rPr>
          <w:rFonts w:ascii="Times New Roman" w:hAnsi="Times New Roman" w:cs="Times New Roman"/>
          <w:sz w:val="28"/>
          <w:szCs w:val="28"/>
        </w:rPr>
        <w:t xml:space="preserve">, противопожарных инструктажей и тренировок,</w:t>
      </w:r>
      <w:bookmarkEnd w:id="40"/>
      <w:r>
        <w:rPr>
          <w:rFonts w:ascii="Times New Roman" w:hAnsi="Times New Roman" w:cs="Times New Roman"/>
          <w:sz w:val="28"/>
          <w:szCs w:val="28"/>
        </w:rPr>
        <w:t xml:space="preserve"> а также обучения работников мерам пожарной безопасности.</w:t>
      </w:r>
      <w:r>
        <w:rPr>
          <w:rFonts w:ascii="Times New Roman" w:hAnsi="Times New Roman" w:cs="Times New Roman"/>
          <w:sz w:val="28"/>
          <w:szCs w:val="28"/>
        </w:rPr>
      </w:r>
    </w:p>
    <w:p>
      <w:pPr>
        <w:pStyle w:val="1142"/>
        <w:numPr>
          <w:ilvl w:val="2"/>
          <w:numId w:val="42"/>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Проверки противопожарного состояния объектов защиты проводят с целью:</w:t>
      </w:r>
      <w:r>
        <w:rPr>
          <w:rFonts w:ascii="Times New Roman" w:hAnsi="Times New Roman" w:cs="Times New Roman"/>
          <w:color w:val="000000"/>
          <w:sz w:val="28"/>
          <w:szCs w:val="28"/>
        </w:rPr>
      </w:r>
    </w:p>
    <w:p>
      <w:pPr>
        <w:numPr>
          <w:ilvl w:val="0"/>
          <w:numId w:val="3"/>
        </w:numPr>
        <w:ind w:left="0" w:firstLine="709"/>
        <w:jc w:val="both"/>
        <w:tabs>
          <w:tab w:val="left" w:pos="1134" w:leader="none"/>
        </w:tabs>
        <w:rPr>
          <w:sz w:val="28"/>
          <w:szCs w:val="28"/>
        </w:rPr>
      </w:pPr>
      <w:r>
        <w:rPr>
          <w:sz w:val="28"/>
          <w:szCs w:val="28"/>
        </w:rPr>
        <w:t xml:space="preserve">контроля соблюдения требований пожарной безопасности;</w:t>
      </w:r>
      <w:r>
        <w:rPr>
          <w:sz w:val="28"/>
          <w:szCs w:val="28"/>
        </w:rPr>
      </w:r>
    </w:p>
    <w:p>
      <w:pPr>
        <w:numPr>
          <w:ilvl w:val="0"/>
          <w:numId w:val="3"/>
        </w:numPr>
        <w:ind w:left="0" w:firstLine="709"/>
        <w:jc w:val="both"/>
        <w:tabs>
          <w:tab w:val="left" w:pos="1134" w:leader="none"/>
        </w:tabs>
        <w:rPr>
          <w:sz w:val="28"/>
          <w:szCs w:val="28"/>
        </w:rPr>
      </w:pPr>
      <w:r>
        <w:rPr>
          <w:sz w:val="28"/>
          <w:szCs w:val="28"/>
        </w:rPr>
        <w:t xml:space="preserve">контроля соблюдения противопожарного режима на объекте;</w:t>
      </w:r>
      <w:r>
        <w:rPr>
          <w:sz w:val="28"/>
          <w:szCs w:val="28"/>
        </w:rPr>
      </w:r>
    </w:p>
    <w:p>
      <w:pPr>
        <w:numPr>
          <w:ilvl w:val="0"/>
          <w:numId w:val="3"/>
        </w:numPr>
        <w:ind w:left="0" w:firstLine="709"/>
        <w:jc w:val="both"/>
        <w:tabs>
          <w:tab w:val="left" w:pos="1134" w:leader="none"/>
        </w:tabs>
        <w:rPr>
          <w:sz w:val="28"/>
          <w:szCs w:val="28"/>
        </w:rPr>
      </w:pPr>
      <w:r>
        <w:rPr>
          <w:sz w:val="28"/>
          <w:szCs w:val="28"/>
        </w:rPr>
        <w:t xml:space="preserve">контроля состояния средств противопожарной защиты объекта;</w:t>
      </w:r>
      <w:r>
        <w:rPr>
          <w:sz w:val="28"/>
          <w:szCs w:val="28"/>
        </w:rPr>
      </w:r>
    </w:p>
    <w:p>
      <w:pPr>
        <w:numPr>
          <w:ilvl w:val="0"/>
          <w:numId w:val="3"/>
        </w:numPr>
        <w:ind w:left="0" w:firstLine="709"/>
        <w:jc w:val="both"/>
        <w:tabs>
          <w:tab w:val="left" w:pos="1134" w:leader="none"/>
          <w:tab w:val="left" w:pos="1701" w:leader="none"/>
        </w:tabs>
        <w:rPr>
          <w:sz w:val="28"/>
          <w:szCs w:val="28"/>
        </w:rPr>
      </w:pPr>
      <w:r>
        <w:rPr>
          <w:sz w:val="28"/>
          <w:szCs w:val="28"/>
        </w:rPr>
        <w:t xml:space="preserve">предупреждения повреждений оборудования, инженерных систем и коммуникаций, которые могут привести к пожару. </w:t>
      </w:r>
      <w:r>
        <w:rPr>
          <w:sz w:val="28"/>
          <w:szCs w:val="28"/>
        </w:rPr>
      </w:r>
    </w:p>
    <w:p>
      <w:pPr>
        <w:pStyle w:val="1142"/>
        <w:numPr>
          <w:ilvl w:val="2"/>
          <w:numId w:val="4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Проверки противопожарного состояния </w:t>
      </w:r>
      <w:r>
        <w:rPr>
          <w:rFonts w:ascii="Times New Roman" w:hAnsi="Times New Roman" w:cs="Times New Roman"/>
          <w:sz w:val="28"/>
          <w:szCs w:val="28"/>
        </w:rPr>
        <w:t xml:space="preserve">проводят:</w:t>
      </w:r>
      <w:r>
        <w:rPr>
          <w:rFonts w:ascii="Times New Roman" w:hAnsi="Times New Roman" w:cs="Times New Roman"/>
          <w:sz w:val="28"/>
          <w:szCs w:val="28"/>
        </w:rPr>
      </w:r>
    </w:p>
    <w:p>
      <w:pPr>
        <w:pStyle w:val="1142"/>
        <w:numPr>
          <w:ilvl w:val="0"/>
          <w:numId w:val="26"/>
        </w:numPr>
        <w:ind w:left="0" w:firstLine="709"/>
        <w:jc w:val="both"/>
        <w:tabs>
          <w:tab w:val="left" w:pos="1134" w:leader="none"/>
        </w:tabs>
        <w:rPr>
          <w:rFonts w:ascii="Times New Roman" w:hAnsi="Times New Roman" w:cs="Times New Roman"/>
          <w:sz w:val="28"/>
          <w:szCs w:val="28"/>
        </w:rPr>
      </w:pPr>
      <w:r>
        <w:rPr>
          <w:rFonts w:ascii="Times New Roman" w:hAnsi="Times New Roman" w:cs="Times New Roman"/>
          <w:sz w:val="28"/>
          <w:szCs w:val="28"/>
        </w:rPr>
        <w:t xml:space="preserve">специалисты структурных подразделений, контролирующие вопросы пожарной безопасности;</w:t>
      </w:r>
      <w:r>
        <w:rPr>
          <w:rFonts w:ascii="Times New Roman" w:hAnsi="Times New Roman" w:cs="Times New Roman"/>
          <w:sz w:val="28"/>
          <w:szCs w:val="28"/>
        </w:rPr>
      </w:r>
    </w:p>
    <w:p>
      <w:pPr>
        <w:pStyle w:val="1142"/>
        <w:numPr>
          <w:ilvl w:val="0"/>
          <w:numId w:val="26"/>
        </w:numPr>
        <w:ind w:left="0" w:firstLine="709"/>
        <w:jc w:val="both"/>
        <w:tabs>
          <w:tab w:val="left" w:pos="1134" w:leader="none"/>
        </w:tabs>
        <w:rPr>
          <w:rFonts w:ascii="Times New Roman" w:hAnsi="Times New Roman" w:cs="Times New Roman"/>
          <w:sz w:val="28"/>
          <w:szCs w:val="28"/>
        </w:rPr>
      </w:pPr>
      <w:r>
        <w:rPr>
          <w:rFonts w:ascii="Times New Roman" w:hAnsi="Times New Roman" w:cs="Times New Roman"/>
          <w:sz w:val="28"/>
          <w:szCs w:val="28"/>
        </w:rPr>
        <w:t xml:space="preserve">комиссии, создаваемые согласно организационно-распорядительным документам ПАО «Россети» по мере необходимости;</w:t>
      </w:r>
      <w:r>
        <w:rPr>
          <w:rFonts w:ascii="Times New Roman" w:hAnsi="Times New Roman" w:cs="Times New Roman"/>
          <w:sz w:val="28"/>
          <w:szCs w:val="28"/>
        </w:rPr>
      </w:r>
    </w:p>
    <w:p>
      <w:pPr>
        <w:pStyle w:val="1142"/>
        <w:numPr>
          <w:ilvl w:val="0"/>
          <w:numId w:val="26"/>
        </w:numPr>
        <w:ind w:left="0" w:firstLine="709"/>
        <w:jc w:val="both"/>
        <w:tabs>
          <w:tab w:val="left" w:pos="1134" w:leader="none"/>
        </w:tabs>
        <w:rPr>
          <w:rFonts w:ascii="Times New Roman" w:hAnsi="Times New Roman" w:cs="Times New Roman"/>
          <w:sz w:val="28"/>
          <w:szCs w:val="28"/>
        </w:rPr>
      </w:pPr>
      <w:r>
        <w:rPr>
          <w:rFonts w:ascii="Times New Roman" w:hAnsi="Times New Roman" w:cs="Times New Roman"/>
          <w:sz w:val="28"/>
          <w:szCs w:val="28"/>
        </w:rPr>
        <w:t xml:space="preserve">работники структурных подразделений, назначенные ответственными за обеспечение пожарной безопасности. </w:t>
      </w:r>
      <w:r>
        <w:rPr>
          <w:rFonts w:ascii="Times New Roman" w:hAnsi="Times New Roman" w:cs="Times New Roman"/>
          <w:sz w:val="28"/>
          <w:szCs w:val="28"/>
        </w:rPr>
      </w:r>
    </w:p>
    <w:p>
      <w:pPr>
        <w:pStyle w:val="1142"/>
        <w:numPr>
          <w:ilvl w:val="2"/>
          <w:numId w:val="42"/>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Для выявления и устранения нарушений требований пожарной </w:t>
      </w:r>
      <w:r>
        <w:rPr>
          <w:rFonts w:ascii="Times New Roman" w:hAnsi="Times New Roman"/>
          <w:sz w:val="28"/>
          <w:szCs w:val="28"/>
        </w:rPr>
        <w:t xml:space="preserve">безопасности, профилактики и предупреждения пожаров также должны проводиться:</w:t>
      </w:r>
      <w:r>
        <w:rPr>
          <w:rFonts w:ascii="Times New Roman" w:hAnsi="Times New Roman" w:cs="Times New Roman"/>
          <w:sz w:val="28"/>
          <w:szCs w:val="28"/>
        </w:rPr>
      </w:r>
    </w:p>
    <w:p>
      <w:pPr>
        <w:pStyle w:val="1142"/>
        <w:numPr>
          <w:ilvl w:val="0"/>
          <w:numId w:val="89"/>
        </w:numPr>
        <w:ind w:left="0" w:firstLine="709"/>
        <w:jc w:val="both"/>
        <w:tabs>
          <w:tab w:val="left" w:pos="1701" w:leader="none"/>
        </w:tabs>
        <w:rPr>
          <w:rFonts w:ascii="Times New Roman" w:hAnsi="Times New Roman"/>
          <w:sz w:val="28"/>
          <w:szCs w:val="28"/>
        </w:rPr>
      </w:pPr>
      <w:r>
        <w:rPr>
          <w:rFonts w:ascii="Times New Roman" w:hAnsi="Times New Roman"/>
          <w:sz w:val="28"/>
          <w:szCs w:val="28"/>
        </w:rPr>
        <w:t xml:space="preserve">Смотры-конкурсы на лучшее противопожарное состояние в соответствии с Положением о смотре-конкурсе.</w:t>
      </w:r>
      <w:r>
        <w:rPr>
          <w:rFonts w:ascii="Times New Roman" w:hAnsi="Times New Roman"/>
          <w:sz w:val="28"/>
          <w:szCs w:val="28"/>
        </w:rPr>
      </w:r>
    </w:p>
    <w:p>
      <w:pPr>
        <w:pStyle w:val="1142"/>
        <w:numPr>
          <w:ilvl w:val="0"/>
          <w:numId w:val="89"/>
        </w:numPr>
        <w:ind w:left="0" w:firstLine="709"/>
        <w:jc w:val="both"/>
        <w:tabs>
          <w:tab w:val="left" w:pos="1701" w:leader="none"/>
        </w:tabs>
        <w:rPr>
          <w:rFonts w:ascii="Times New Roman" w:hAnsi="Times New Roman"/>
          <w:sz w:val="28"/>
          <w:szCs w:val="28"/>
        </w:rPr>
      </w:pPr>
      <w:r>
        <w:rPr>
          <w:rFonts w:ascii="Times New Roman" w:hAnsi="Times New Roman"/>
          <w:sz w:val="28"/>
          <w:szCs w:val="28"/>
        </w:rPr>
        <w:t xml:space="preserve">Дни пожарной безопасности.</w:t>
      </w:r>
      <w:r>
        <w:rPr>
          <w:rFonts w:ascii="Times New Roman" w:hAnsi="Times New Roman"/>
          <w:sz w:val="28"/>
          <w:szCs w:val="28"/>
        </w:rPr>
      </w:r>
    </w:p>
    <w:p>
      <w:pPr>
        <w:pStyle w:val="1142"/>
        <w:numPr>
          <w:ilvl w:val="2"/>
          <w:numId w:val="42"/>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В зависимости от состояния пожарной безопасности на объектах </w:t>
      </w:r>
      <w:r>
        <w:rPr>
          <w:rFonts w:ascii="Times New Roman" w:hAnsi="Times New Roman" w:cs="Times New Roman"/>
          <w:sz w:val="28"/>
          <w:szCs w:val="28"/>
        </w:rPr>
        <w:t xml:space="preserve">Филиала</w:t>
      </w:r>
      <w:r>
        <w:rPr>
          <w:rFonts w:ascii="Times New Roman" w:hAnsi="Times New Roman"/>
          <w:sz w:val="28"/>
          <w:szCs w:val="28"/>
        </w:rPr>
        <w:t xml:space="preserve"> главным техническим руководителем могут устанавливаться другие формы работы по выявлению и устранению нарушений требований пожарной безопасности путем издания соответствующего ОРД.</w:t>
      </w:r>
      <w:r>
        <w:rPr>
          <w:rFonts w:ascii="Times New Roman" w:hAnsi="Times New Roman" w:cs="Times New Roman"/>
          <w:sz w:val="28"/>
          <w:szCs w:val="28"/>
        </w:rPr>
      </w:r>
    </w:p>
    <w:p>
      <w:pPr>
        <w:jc w:val="both"/>
        <w:tabs>
          <w:tab w:val="left" w:pos="1701" w:leader="none"/>
        </w:tabs>
      </w:pPr>
      <w:r/>
      <w:r/>
    </w:p>
    <w:p>
      <w:pPr>
        <w:pStyle w:val="1142"/>
        <w:numPr>
          <w:ilvl w:val="1"/>
          <w:numId w:val="40"/>
        </w:numPr>
        <w:ind w:left="0" w:firstLine="709"/>
        <w:jc w:val="both"/>
        <w:tabs>
          <w:tab w:val="left" w:pos="1276" w:leader="none"/>
        </w:tabs>
        <w:rPr>
          <w:rFonts w:ascii="Times New Roman" w:hAnsi="Times New Roman" w:cs="Times New Roman"/>
          <w:b/>
          <w:sz w:val="28"/>
          <w:szCs w:val="28"/>
        </w:rPr>
        <w:outlineLvl w:val="1"/>
      </w:pPr>
      <w:r/>
      <w:bookmarkStart w:id="41" w:name="Основная_документация_по_ПБ_3_4"/>
      <w:r/>
      <w:bookmarkStart w:id="42" w:name="_Toc112328557"/>
      <w:r/>
      <w:bookmarkStart w:id="43" w:name="_Toc124499093"/>
      <w:r>
        <w:rPr>
          <w:rFonts w:ascii="Times New Roman" w:hAnsi="Times New Roman" w:cs="Times New Roman"/>
          <w:b/>
          <w:sz w:val="28"/>
          <w:szCs w:val="28"/>
        </w:rPr>
        <w:t xml:space="preserve">Основная документация по пожарной безопасности</w:t>
      </w:r>
      <w:bookmarkEnd w:id="41"/>
      <w:r/>
      <w:bookmarkEnd w:id="42"/>
      <w:r/>
      <w:bookmarkEnd w:id="43"/>
      <w:r/>
      <w:r>
        <w:rPr>
          <w:rFonts w:ascii="Times New Roman" w:hAnsi="Times New Roman" w:cs="Times New Roman"/>
          <w:b/>
          <w:sz w:val="28"/>
          <w:szCs w:val="28"/>
        </w:rPr>
      </w:r>
    </w:p>
    <w:p>
      <w:pPr>
        <w:pStyle w:val="1250"/>
        <w:ind w:firstLine="0"/>
        <w:spacing w:after="0"/>
        <w:tabs>
          <w:tab w:val="left" w:pos="1701" w:leader="none"/>
        </w:tabs>
      </w:pPr>
      <w:r/>
      <w:r/>
    </w:p>
    <w:p>
      <w:pPr>
        <w:pStyle w:val="1142"/>
        <w:numPr>
          <w:ilvl w:val="2"/>
          <w:numId w:val="9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Перечни необходимых инструкций и другой документации по пожарной безопасности разрабатываются отдельно для каждого Филиала. Перечни утверждаются техническим руководителем Филиала и актуализируются по мере необходимости. </w:t>
      </w:r>
      <w:r>
        <w:rPr>
          <w:rFonts w:ascii="Times New Roman" w:hAnsi="Times New Roman" w:cs="Times New Roman"/>
          <w:color w:val="000000"/>
          <w:sz w:val="28"/>
          <w:szCs w:val="28"/>
        </w:rPr>
      </w:r>
    </w:p>
    <w:p>
      <w:pPr>
        <w:pStyle w:val="1250"/>
        <w:numPr>
          <w:ilvl w:val="0"/>
          <w:numId w:val="91"/>
        </w:numPr>
        <w:ind w:left="0" w:firstLine="709"/>
        <w:spacing w:after="0"/>
        <w:tabs>
          <w:tab w:val="left" w:pos="1701" w:leader="none"/>
        </w:tabs>
        <w:rPr>
          <w:sz w:val="28"/>
          <w:szCs w:val="28"/>
        </w:rPr>
      </w:pPr>
      <w:r>
        <w:rPr>
          <w:sz w:val="28"/>
          <w:szCs w:val="28"/>
        </w:rPr>
        <w:t xml:space="preserve">В Филиале должна разрабатываться следующая документация по пожарной безопасности:</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Инструкции о мерах пожарной безопасности в отношении каждого здания и сооружения, которые утверждаются руководителем организации или иным должностным л</w:t>
      </w:r>
      <w:r>
        <w:rPr>
          <w:sz w:val="28"/>
          <w:szCs w:val="28"/>
        </w:rPr>
        <w:t xml:space="preserve">ицом, уполномоченным руководителем организации. Для однотипных зданий и сооружений допускается разрабатывать одну инструкцию о мерах пожарной безопасности (с учетом специфики взрывопожароопасных и пожароопасных помещений в указанных зданиях и сооружениях).</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И</w:t>
      </w:r>
      <w:r>
        <w:rPr>
          <w:sz w:val="28"/>
          <w:szCs w:val="28"/>
        </w:rPr>
        <w:t xml:space="preserve">нструкции по эксплуатации и обслуживанию установок (систем) противопожарной защиты, установленных на объекте (с учетом требований инструкций и (или) технической документации изготовителей на технические средства, функционирующие в составе таких установок).</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Инструкция о порядке действия дежурного (оперативного) персонала при получении сигналов о пожаре и неисправности установок (систем) противопожарной защиты объекта защиты.</w:t>
      </w:r>
      <w:r>
        <w:rPr>
          <w:sz w:val="28"/>
          <w:szCs w:val="28"/>
        </w:rPr>
      </w:r>
    </w:p>
    <w:p>
      <w:pPr>
        <w:pStyle w:val="1250"/>
        <w:numPr>
          <w:ilvl w:val="0"/>
          <w:numId w:val="55"/>
        </w:numPr>
        <w:ind w:left="0" w:firstLine="709"/>
        <w:spacing w:after="0"/>
        <w:tabs>
          <w:tab w:val="left" w:pos="1701" w:leader="none"/>
        </w:tabs>
        <w:rPr>
          <w:sz w:val="28"/>
          <w:szCs w:val="28"/>
        </w:rPr>
      </w:pPr>
      <w:r>
        <w:rPr>
          <w:iCs/>
          <w:sz w:val="28"/>
          <w:szCs w:val="28"/>
        </w:rPr>
        <w:t xml:space="preserve">Инструкция по эксплуатации систем противопожарного водоснабжения (внутреннего и наружн</w:t>
      </w:r>
      <w:r>
        <w:rPr>
          <w:iCs/>
          <w:sz w:val="28"/>
          <w:szCs w:val="28"/>
        </w:rPr>
        <w:t xml:space="preserve">ого, в том числе включающую порядок включения в работу насосов и открытия запорной арматуры, порядок приведения ПГ и ПК в работоспособное состояние, требования по техническому обслуживанию оборудования противопожарного водоснабжения, в случае его наличия).</w:t>
      </w:r>
      <w:r>
        <w:rPr>
          <w:sz w:val="28"/>
          <w:szCs w:val="28"/>
        </w:rPr>
      </w:r>
    </w:p>
    <w:p>
      <w:pPr>
        <w:pStyle w:val="1250"/>
        <w:numPr>
          <w:ilvl w:val="0"/>
          <w:numId w:val="55"/>
        </w:numPr>
        <w:ind w:left="0" w:firstLine="709"/>
        <w:spacing w:after="0"/>
        <w:tabs>
          <w:tab w:val="left" w:pos="1701" w:leader="none"/>
        </w:tabs>
        <w:rPr>
          <w:sz w:val="28"/>
          <w:szCs w:val="28"/>
        </w:rPr>
      </w:pPr>
      <w:r>
        <w:rPr>
          <w:sz w:val="28"/>
          <w:szCs w:val="28"/>
          <w:shd w:val="clear" w:color="auto" w:fill="ffffff"/>
        </w:rPr>
        <w:t xml:space="preserve">О</w:t>
      </w:r>
      <w:r>
        <w:rPr>
          <w:sz w:val="28"/>
          <w:szCs w:val="28"/>
        </w:rPr>
        <w:t xml:space="preserve">перативные карточки действий персонала при пожаре для подстанций напряжением 35 кВ и выше.</w:t>
      </w:r>
      <w:r>
        <w:rPr>
          <w:sz w:val="28"/>
          <w:szCs w:val="28"/>
        </w:rPr>
      </w:r>
    </w:p>
    <w:p>
      <w:pPr>
        <w:pStyle w:val="1168"/>
        <w:numPr>
          <w:ilvl w:val="0"/>
          <w:numId w:val="55"/>
        </w:numPr>
        <w:ind w:left="0" w:firstLine="709"/>
        <w:jc w:val="both"/>
        <w:spacing w:after="0" w:line="240" w:lineRule="auto"/>
        <w:tabs>
          <w:tab w:val="left" w:pos="1701" w:leader="none"/>
        </w:tabs>
        <w:rPr>
          <w:sz w:val="28"/>
          <w:szCs w:val="28"/>
        </w:rPr>
      </w:pPr>
      <w:r>
        <w:rPr>
          <w:sz w:val="28"/>
          <w:szCs w:val="28"/>
        </w:rPr>
        <w:t xml:space="preserve">План эвакуации людей при пожаре (для объектов с массовым пребыванием людей, т.е. в которых может одновременно находиться 50 и более человек, и для объектов с постоянными рабочими местами на этаже для 10 и более человек).</w:t>
      </w:r>
      <w:r>
        <w:rPr>
          <w:sz w:val="28"/>
          <w:szCs w:val="28"/>
        </w:rPr>
      </w:r>
    </w:p>
    <w:p>
      <w:pPr>
        <w:pStyle w:val="1168"/>
        <w:numPr>
          <w:ilvl w:val="0"/>
          <w:numId w:val="55"/>
        </w:numPr>
        <w:ind w:left="0" w:firstLine="709"/>
        <w:jc w:val="both"/>
        <w:spacing w:after="0" w:line="240" w:lineRule="auto"/>
        <w:tabs>
          <w:tab w:val="left" w:pos="1701" w:leader="none"/>
        </w:tabs>
        <w:rPr>
          <w:sz w:val="28"/>
          <w:szCs w:val="28"/>
        </w:rPr>
      </w:pPr>
      <w:r>
        <w:rPr>
          <w:sz w:val="28"/>
          <w:szCs w:val="28"/>
        </w:rPr>
        <w:t xml:space="preserve">Планы расстановки транспортных </w:t>
      </w:r>
      <w:r>
        <w:rPr>
          <w:sz w:val="28"/>
          <w:szCs w:val="28"/>
        </w:rPr>
        <w:t xml:space="preserve">средств с описанием очередности и порядка их эвакуации при пожаре (в отношении помещений для хранения (стоянки) транспорта в количестве более 25 единиц, расположенных на объектах транспортной инфраструктуры, предусмотренных положениями Федерального закона </w:t>
      </w:r>
      <w:hyperlink r:id="rId35" w:tooltip="&quot;О транспортной безопасности (с изменениями на 8 августа 2024 года) (редакция, действующая с 1 марта 2025 года)&quot;Федеральный закон от 09.02.2007 N 16-ФЗСтатус: Действующая редакция документа (действ. c 01.03.2025)" w:history="1">
        <w:r>
          <w:rPr>
            <w:rStyle w:val="1111"/>
            <w:color w:val="0000aa"/>
            <w:sz w:val="28"/>
            <w:szCs w:val="28"/>
          </w:rPr>
          <w:t xml:space="preserve">от 09.02.2007 № 16-ФЗ</w:t>
        </w:r>
      </w:hyperlink>
      <w:r>
        <w:rPr>
          <w:sz w:val="28"/>
          <w:szCs w:val="28"/>
        </w:rPr>
        <w:t xml:space="preserve"> «О транспортной безопасности»).</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Перечень пожароопасных участков, в том числе участков ВЛ, где необходимо проведение противопожарных мероприятий.</w:t>
      </w:r>
      <w:r>
        <w:rPr>
          <w:sz w:val="28"/>
          <w:szCs w:val="28"/>
        </w:rPr>
      </w:r>
    </w:p>
    <w:p>
      <w:pPr>
        <w:pStyle w:val="1168"/>
        <w:numPr>
          <w:ilvl w:val="0"/>
          <w:numId w:val="55"/>
        </w:numPr>
        <w:ind w:left="0" w:firstLine="709"/>
        <w:jc w:val="both"/>
        <w:spacing w:after="0" w:line="240" w:lineRule="auto"/>
        <w:tabs>
          <w:tab w:val="left" w:pos="1701" w:leader="none"/>
        </w:tabs>
        <w:rPr>
          <w:sz w:val="28"/>
          <w:szCs w:val="28"/>
        </w:rPr>
      </w:pPr>
      <w:r>
        <w:rPr>
          <w:sz w:val="28"/>
          <w:szCs w:val="28"/>
        </w:rPr>
        <w:t xml:space="preserve">График проведения периодических осмотров пожароопасных участков ВЛ.</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Темы, программы, графики проведения противопожарных тренировок, журнал учета данных тренировок.</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Программы вводного и первичного противопожарных инструктажей на рабочем месте, журнал учета противопожарных инструктажей.</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Перечни инструкций по пожарной безопасности, необходимых для каждого объекта Филиала.</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Технологические схемы (наружного и внутреннего противопожарного водопровода с указанием номеров пожарных кранов и пожарных гидрантов, обвязки технологических узлов пожарной насосной с указанием нормального положения задвижек).</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Перечень оборудования до 0,4 кВ, которое не может быть обесточено в случае пожара на подстанции (при наличии такого оборудования).</w:t>
      </w:r>
      <w:r>
        <w:rPr>
          <w:sz w:val="28"/>
          <w:szCs w:val="28"/>
        </w:rPr>
      </w:r>
    </w:p>
    <w:p>
      <w:pPr>
        <w:pStyle w:val="1250"/>
        <w:numPr>
          <w:ilvl w:val="0"/>
          <w:numId w:val="55"/>
        </w:numPr>
        <w:ind w:left="0" w:firstLine="709"/>
        <w:spacing w:after="0"/>
        <w:tabs>
          <w:tab w:val="left" w:pos="1701" w:leader="none"/>
        </w:tabs>
        <w:rPr>
          <w:sz w:val="28"/>
          <w:szCs w:val="28"/>
        </w:rPr>
      </w:pPr>
      <w:r>
        <w:rPr>
          <w:sz w:val="28"/>
          <w:szCs w:val="28"/>
        </w:rPr>
        <w:t xml:space="preserve">Журнал эксплуатации систем противопожарной защиты согласно Пр</w:t>
      </w:r>
      <w:r>
        <w:rPr>
          <w:sz w:val="28"/>
          <w:szCs w:val="28"/>
        </w:rPr>
        <w:t xml:space="preserve">иложению А к настоящим указаниям. Допускается ведение нескольких томов Журнала эксплуатации систем противопожарной защиты, которыми оборудован объект (отдельный том на каждый из разделов). Допускается ведение журнала эксплуатации систем противопожарной защ</w:t>
      </w:r>
      <w:r>
        <w:rPr>
          <w:sz w:val="28"/>
          <w:szCs w:val="28"/>
        </w:rPr>
        <w:t xml:space="preserve">иты в электронном виде. При заключении с подрядной организацией договора на ТО и ППР системы противопожарной защиты применяется форма журнала в соответствии с приложением М к «Руководящим указаниям по общим требованиям к установкам противопожарной защиты».</w:t>
      </w:r>
      <w:r>
        <w:rPr>
          <w:sz w:val="28"/>
          <w:szCs w:val="28"/>
        </w:rPr>
      </w:r>
    </w:p>
    <w:p>
      <w:pPr>
        <w:pStyle w:val="1168"/>
        <w:numPr>
          <w:ilvl w:val="0"/>
          <w:numId w:val="92"/>
        </w:numPr>
        <w:ind w:left="0" w:firstLine="709"/>
        <w:jc w:val="both"/>
        <w:spacing w:after="0" w:line="240" w:lineRule="auto"/>
        <w:tabs>
          <w:tab w:val="left" w:pos="1701" w:leader="none"/>
        </w:tabs>
        <w:rPr>
          <w:sz w:val="28"/>
          <w:szCs w:val="28"/>
        </w:rPr>
      </w:pPr>
      <w:r>
        <w:rPr>
          <w:sz w:val="28"/>
          <w:szCs w:val="28"/>
        </w:rPr>
        <w:t xml:space="preserve">Перечень документации не является исчерпывающим и может быть либо расширен другими документами, либо сокращен при отсутствии на объектах тех или иных систем (средств) противопожарной защиты.</w:t>
      </w:r>
      <w:r>
        <w:rPr>
          <w:sz w:val="28"/>
          <w:szCs w:val="28"/>
        </w:rPr>
      </w:r>
    </w:p>
    <w:p>
      <w:pPr>
        <w:pStyle w:val="1250"/>
        <w:numPr>
          <w:ilvl w:val="0"/>
          <w:numId w:val="92"/>
        </w:numPr>
        <w:ind w:left="0" w:firstLine="709"/>
        <w:spacing w:after="0"/>
        <w:tabs>
          <w:tab w:val="left" w:pos="1701" w:leader="none"/>
        </w:tabs>
        <w:rPr>
          <w:sz w:val="28"/>
          <w:szCs w:val="28"/>
        </w:rPr>
      </w:pPr>
      <w:r>
        <w:rPr>
          <w:sz w:val="28"/>
          <w:szCs w:val="28"/>
        </w:rPr>
        <w:t xml:space="preserve">ОРД Филиала определяются:</w:t>
      </w:r>
      <w:r>
        <w:rPr>
          <w:sz w:val="28"/>
          <w:szCs w:val="28"/>
        </w:rPr>
      </w:r>
    </w:p>
    <w:p>
      <w:pPr>
        <w:pStyle w:val="1250"/>
        <w:numPr>
          <w:ilvl w:val="1"/>
          <w:numId w:val="56"/>
        </w:numPr>
        <w:ind w:left="0" w:firstLine="709"/>
        <w:spacing w:after="0"/>
        <w:tabs>
          <w:tab w:val="left" w:pos="1701" w:leader="none"/>
        </w:tabs>
        <w:rPr>
          <w:sz w:val="28"/>
          <w:szCs w:val="28"/>
        </w:rPr>
      </w:pPr>
      <w:r>
        <w:rPr>
          <w:sz w:val="28"/>
          <w:szCs w:val="28"/>
        </w:rPr>
        <w:t xml:space="preserve">Лица, ответственные за пожарную безопасность в каждом здании, сооружении, строении, на прилегающей к ним территории, в том числе с находящимися на ней технологическими установками и оборудованием.</w:t>
      </w:r>
      <w:r>
        <w:rPr>
          <w:sz w:val="28"/>
          <w:szCs w:val="28"/>
        </w:rPr>
      </w:r>
    </w:p>
    <w:p>
      <w:pPr>
        <w:pStyle w:val="1250"/>
        <w:numPr>
          <w:ilvl w:val="1"/>
          <w:numId w:val="56"/>
        </w:numPr>
        <w:ind w:left="0" w:firstLine="709"/>
        <w:spacing w:after="0"/>
        <w:tabs>
          <w:tab w:val="left" w:pos="1701" w:leader="none"/>
        </w:tabs>
        <w:rPr>
          <w:sz w:val="28"/>
          <w:szCs w:val="28"/>
        </w:rPr>
      </w:pPr>
      <w:r>
        <w:rPr>
          <w:sz w:val="28"/>
          <w:szCs w:val="28"/>
        </w:rPr>
        <w:t xml:space="preserve">Лица, ответственные за проведение противопожарных инструктажей.</w:t>
      </w:r>
      <w:r>
        <w:rPr>
          <w:sz w:val="28"/>
          <w:szCs w:val="28"/>
        </w:rPr>
      </w:r>
    </w:p>
    <w:p>
      <w:pPr>
        <w:pStyle w:val="1250"/>
        <w:numPr>
          <w:ilvl w:val="1"/>
          <w:numId w:val="56"/>
        </w:numPr>
        <w:ind w:left="0" w:firstLine="709"/>
        <w:spacing w:after="0"/>
        <w:tabs>
          <w:tab w:val="left" w:pos="1701" w:leader="none"/>
        </w:tabs>
        <w:rPr>
          <w:sz w:val="28"/>
          <w:szCs w:val="28"/>
        </w:rPr>
      </w:pPr>
      <w:r>
        <w:rPr>
          <w:sz w:val="28"/>
          <w:szCs w:val="28"/>
        </w:rPr>
        <w:t xml:space="preserve">Лица, ответственные за приобретение, сохранность, контроль состояния и готовность к использованию первичных средств пожаротушения, своевременную перезарядку огнетушителей.</w:t>
      </w:r>
      <w:r>
        <w:rPr>
          <w:sz w:val="28"/>
          <w:szCs w:val="28"/>
        </w:rPr>
      </w:r>
    </w:p>
    <w:p>
      <w:pPr>
        <w:pStyle w:val="1250"/>
        <w:numPr>
          <w:ilvl w:val="1"/>
          <w:numId w:val="56"/>
        </w:numPr>
        <w:ind w:left="0" w:firstLine="709"/>
        <w:spacing w:after="0"/>
        <w:tabs>
          <w:tab w:val="left" w:pos="1701" w:leader="none"/>
        </w:tabs>
        <w:rPr>
          <w:sz w:val="28"/>
          <w:szCs w:val="28"/>
        </w:rPr>
      </w:pPr>
      <w:r>
        <w:rPr>
          <w:sz w:val="28"/>
          <w:szCs w:val="28"/>
        </w:rPr>
        <w:t xml:space="preserve">Лица, ответственные за эксплуатацию установок противопожарной защиты, систем противопожарного водоснабжения.</w:t>
      </w:r>
      <w:r>
        <w:rPr>
          <w:sz w:val="28"/>
          <w:szCs w:val="28"/>
        </w:rPr>
      </w:r>
    </w:p>
    <w:p>
      <w:pPr>
        <w:pStyle w:val="1250"/>
        <w:numPr>
          <w:ilvl w:val="1"/>
          <w:numId w:val="56"/>
        </w:numPr>
        <w:ind w:left="0" w:firstLine="709"/>
        <w:spacing w:after="0"/>
        <w:tabs>
          <w:tab w:val="left" w:pos="1701" w:leader="none"/>
        </w:tabs>
        <w:rPr>
          <w:sz w:val="28"/>
          <w:szCs w:val="28"/>
        </w:rPr>
      </w:pPr>
      <w:r>
        <w:rPr>
          <w:sz w:val="28"/>
          <w:szCs w:val="28"/>
        </w:rPr>
        <w:t xml:space="preserve">Лица, ответственные за выполнение работ по ТО и ППР установок противопожарной защиты (при отсутствии договора со специализированной организацией).</w:t>
      </w:r>
      <w:r>
        <w:rPr>
          <w:sz w:val="28"/>
          <w:szCs w:val="28"/>
        </w:rPr>
      </w:r>
    </w:p>
    <w:p>
      <w:pPr>
        <w:pStyle w:val="1142"/>
        <w:numPr>
          <w:ilvl w:val="0"/>
          <w:numId w:val="9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bCs/>
          <w:sz w:val="28"/>
          <w:szCs w:val="28"/>
        </w:rPr>
        <w:t xml:space="preserve">В отношении каждого из зданий, сооружений, производственных объектов Филиала, для которых законодательством Российской Федерации о градостроительной деятельности предусмотре</w:t>
      </w:r>
      <w:r>
        <w:rPr>
          <w:rFonts w:ascii="Times New Roman" w:hAnsi="Times New Roman" w:cs="Times New Roman"/>
          <w:bCs/>
          <w:sz w:val="28"/>
          <w:szCs w:val="28"/>
        </w:rPr>
        <w:t xml:space="preserve">но проведение экспертизы проектной документации, собственником составляется декларация пожарной безопасности, форма и порядок регистрации которой утверждаются нормативным правовым актом ФОИВ, уполномоченным на решение задач в области пожарной безопасности.</w:t>
      </w:r>
      <w:r>
        <w:rPr>
          <w:rFonts w:ascii="Times New Roman" w:hAnsi="Times New Roman" w:cs="Times New Roman"/>
          <w:sz w:val="28"/>
          <w:szCs w:val="28"/>
        </w:rPr>
      </w:r>
    </w:p>
    <w:p>
      <w:pPr>
        <w:pStyle w:val="1142"/>
        <w:numPr>
          <w:ilvl w:val="0"/>
          <w:numId w:val="9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Актуализация инструкций, указанных в пунктах 4.4.2.1-4.4.2.4, должна проводиться в случаях:</w:t>
      </w:r>
      <w:r>
        <w:rPr>
          <w:rFonts w:ascii="Times New Roman" w:hAnsi="Times New Roman" w:cs="Times New Roman"/>
          <w:sz w:val="28"/>
          <w:szCs w:val="28"/>
        </w:rPr>
      </w:r>
    </w:p>
    <w:p>
      <w:pPr>
        <w:pStyle w:val="1142"/>
        <w:numPr>
          <w:ilvl w:val="3"/>
          <w:numId w:val="118"/>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Изменения требований нормативных правовых актов и нормативных документов по пожарной безопасности, на основании которых эти инструкции разработаны.</w:t>
      </w:r>
      <w:r>
        <w:rPr>
          <w:rFonts w:ascii="Times New Roman" w:hAnsi="Times New Roman" w:cs="Times New Roman"/>
          <w:sz w:val="28"/>
          <w:szCs w:val="28"/>
        </w:rPr>
      </w:r>
    </w:p>
    <w:p>
      <w:pPr>
        <w:pStyle w:val="1142"/>
        <w:numPr>
          <w:ilvl w:val="3"/>
          <w:numId w:val="118"/>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Выявления в ходе проверок несоответствия требований инструкций требованиям действующих нормативных правовых актов и нормативных документов по пожарной безопасности.</w:t>
      </w:r>
      <w:r>
        <w:rPr>
          <w:rFonts w:ascii="Times New Roman" w:hAnsi="Times New Roman" w:cs="Times New Roman"/>
          <w:sz w:val="28"/>
          <w:szCs w:val="28"/>
        </w:rPr>
      </w:r>
    </w:p>
    <w:p>
      <w:pPr>
        <w:pStyle w:val="1142"/>
        <w:numPr>
          <w:ilvl w:val="3"/>
          <w:numId w:val="118"/>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других обоснованных случаях по решению технического руководителя Филиала. </w:t>
      </w:r>
      <w:r>
        <w:rPr>
          <w:rFonts w:ascii="Times New Roman" w:hAnsi="Times New Roman" w:cs="Times New Roman"/>
          <w:sz w:val="28"/>
          <w:szCs w:val="28"/>
        </w:rPr>
      </w:r>
    </w:p>
    <w:p>
      <w:pPr>
        <w:pStyle w:val="1142"/>
        <w:ind w:left="709"/>
        <w:jc w:val="both"/>
        <w:tabs>
          <w:tab w:val="left" w:pos="1418" w:leader="none"/>
        </w:tabs>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r>
    </w:p>
    <w:p>
      <w:pPr>
        <w:pStyle w:val="1180"/>
        <w:numPr>
          <w:ilvl w:val="0"/>
          <w:numId w:val="36"/>
        </w:numPr>
        <w:ind w:left="49" w:firstLine="660"/>
        <w:jc w:val="both"/>
        <w:spacing w:before="0" w:beforeAutospacing="0" w:after="0" w:afterAutospacing="0"/>
        <w:tabs>
          <w:tab w:val="left" w:pos="1276" w:leader="none"/>
        </w:tabs>
        <w:rPr>
          <w:b/>
          <w:sz w:val="32"/>
          <w:szCs w:val="32"/>
        </w:rPr>
        <w:outlineLvl w:val="0"/>
      </w:pPr>
      <w:r/>
      <w:bookmarkStart w:id="44" w:name="Требования_ПБ_к_содержанию_территорий_4"/>
      <w:r/>
      <w:bookmarkStart w:id="45" w:name="_Toc124499094"/>
      <w:r>
        <w:rPr>
          <w:b/>
          <w:sz w:val="32"/>
          <w:szCs w:val="32"/>
        </w:rPr>
        <w:t xml:space="preserve">Требования пожарной безопасности к содержанию территорий</w:t>
      </w:r>
      <w:bookmarkEnd w:id="44"/>
      <w:r/>
      <w:bookmarkEnd w:id="45"/>
      <w:r/>
      <w:r>
        <w:rPr>
          <w:b/>
          <w:sz w:val="32"/>
          <w:szCs w:val="32"/>
        </w:rPr>
      </w:r>
    </w:p>
    <w:p>
      <w:pPr>
        <w:pStyle w:val="1180"/>
        <w:ind w:left="709"/>
        <w:jc w:val="both"/>
        <w:spacing w:before="0" w:beforeAutospacing="0" w:after="0" w:afterAutospacing="0"/>
        <w:tabs>
          <w:tab w:val="left" w:pos="1134" w:leader="none"/>
        </w:tabs>
        <w:rPr>
          <w:b/>
          <w:sz w:val="28"/>
          <w:szCs w:val="28"/>
        </w:rPr>
      </w:pPr>
      <w:r>
        <w:rPr>
          <w:b/>
          <w:sz w:val="28"/>
          <w:szCs w:val="28"/>
        </w:rPr>
      </w:r>
      <w:r>
        <w:rPr>
          <w:b/>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Территория объекта должна постоянно содержаться в чистоте, очищаться от сгораемых отходов, мусора, тары, опавших листьев, травы и т.п.</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загромождать материалами и оборудованием дороги и проезды вокруг зданий. </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Противопожарные расстояния между зданиями, сооружениями и наружными установками не разрешается использовать под</w:t>
      </w:r>
      <w:r>
        <w:rPr>
          <w:rFonts w:ascii="Times New Roman" w:hAnsi="Times New Roman" w:cs="Times New Roman"/>
          <w:sz w:val="28"/>
          <w:szCs w:val="28"/>
        </w:rPr>
        <w:t xml:space="preserve"> складирование материалов, оборудования и тары, а также для стоянки транспорта. Вся территория энергообъекта должна иметь капитальное ограждение и оборудованные контрольно-пропускные пункты, а также наружное освещение в соответствии с действующими нормами.</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Дороги, проезды и подъезды к зданиям, сооружениям,</w:t>
      </w:r>
      <w:r>
        <w:rPr>
          <w:rFonts w:ascii="Times New Roman" w:hAnsi="Times New Roman" w:cs="Times New Roman"/>
          <w:color w:val="000000"/>
          <w:sz w:val="28"/>
          <w:szCs w:val="28"/>
        </w:rPr>
        <w:t xml:space="preserve"> открытым складам, подстанциям, наружным пожарным лестницам и водоисточникам, используемым для целей пожаротушения, должны быть всегда свободными для проезда пожарной техники, содержаться в исправном состоянии, а зимой регулярно очищаться от снега и льда. </w:t>
      </w:r>
      <w:r>
        <w:rPr>
          <w:rFonts w:ascii="Times New Roman" w:hAnsi="Times New Roman" w:cs="Times New Roman"/>
          <w:color w:val="000000"/>
          <w:sz w:val="28"/>
          <w:szCs w:val="28"/>
        </w:rPr>
      </w:r>
    </w:p>
    <w:p>
      <w:pPr>
        <w:pStyle w:val="1142"/>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О закрытии дорог или проездов для их ремонта или по другим причинам, препятствующим проезду пожарн</w:t>
      </w:r>
      <w:r>
        <w:rPr>
          <w:rFonts w:ascii="Times New Roman" w:hAnsi="Times New Roman" w:cs="Times New Roman"/>
          <w:color w:val="000000"/>
          <w:sz w:val="28"/>
          <w:szCs w:val="28"/>
        </w:rPr>
        <w:t xml:space="preserve">ых машин, необходимо немедленно сообщать в подразделения пожарной охраны.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r>
        <w:rPr>
          <w:rFonts w:ascii="Times New Roman" w:hAnsi="Times New Roman" w:cs="Times New Roman"/>
          <w:color w:val="000000"/>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территории должны быть установлены соответствующие дорожные знаки и поясняющие надписи, не допускающие остановки автотранспорта, других механизмов и оборудования в местах сужения проездных дорог, под арками и в местах расстановки пожарной техники.</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Закрытие отдельных проездов и участков дорог на ремонт</w:t>
      </w:r>
      <w:r>
        <w:rPr>
          <w:rFonts w:ascii="Times New Roman" w:hAnsi="Times New Roman" w:cs="Times New Roman"/>
          <w:sz w:val="28"/>
          <w:szCs w:val="28"/>
        </w:rPr>
        <w:t xml:space="preserve"> или по другим причинам может быть произведено после устройства временных объездов или переездов через ремонтируемые участки. В этих случаях на весь период ремонта в необходимых местах должны быть установлены дорожные знаки и указатели маршрута следования.</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Места ремонта дорог или пути объезда должны иметь дополнительное освещение.</w:t>
      </w:r>
      <w:r>
        <w:rPr>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Размещение бытовых вагончиков (блок-контейнеров) внутри зданий допускается только для их хранения. Эксплуатация бытовых вагончиков (блок-контейнеров) внутри зданий запрещается.</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При производстве строительно-монтажных работ или реконструкции действующих энергообъектов размещение на территории ПС временных зданий, сооружений и бытовых ва</w:t>
      </w:r>
      <w:r>
        <w:rPr>
          <w:rFonts w:ascii="Times New Roman" w:hAnsi="Times New Roman" w:cs="Times New Roman"/>
          <w:sz w:val="28"/>
          <w:szCs w:val="28"/>
        </w:rPr>
        <w:t xml:space="preserve">гончиков (блок-контейнеров) подрядных организаций, не допускается.</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Временные здания, сооружения и бытовые вагончики (блок-контейнеры) должны</w:t>
      </w:r>
      <w:r>
        <w:rPr>
          <w:rFonts w:ascii="Times New Roman" w:hAnsi="Times New Roman" w:cs="Times New Roman"/>
          <w:color w:val="000000"/>
          <w:sz w:val="28"/>
          <w:szCs w:val="28"/>
        </w:rPr>
        <w:t xml:space="preserve"> располагаться от внутреннего ограждения ОРУ, других зданий и сооружений на расстоянии не менее 30 м (кроме случаев, когда по другим нормам требуются иные противопожарные расстояния) или у противопожарных стен</w:t>
      </w:r>
      <w:r>
        <w:rPr>
          <w:rFonts w:ascii="Times New Roman" w:hAnsi="Times New Roman" w:cs="Times New Roman"/>
          <w:sz w:val="28"/>
          <w:szCs w:val="28"/>
        </w:rPr>
        <w:t xml:space="preserve">.</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Отдельные бытовые вагончики (блок-контейнеры), используемые в качестве административно-бытовых помещений, допускается располагать 2-этажными группами не более 10 штук в группе.</w:t>
      </w:r>
      <w:r>
        <w:rPr>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После завершения всех работ </w:t>
      </w:r>
      <w:r>
        <w:rPr>
          <w:rFonts w:ascii="Times New Roman" w:hAnsi="Times New Roman" w:cs="Times New Roman"/>
          <w:color w:val="000000"/>
          <w:sz w:val="28"/>
          <w:szCs w:val="28"/>
        </w:rPr>
        <w:t xml:space="preserve">временные </w:t>
      </w:r>
      <w:r>
        <w:rPr>
          <w:rFonts w:ascii="Times New Roman" w:hAnsi="Times New Roman" w:cs="Times New Roman"/>
          <w:sz w:val="28"/>
          <w:szCs w:val="28"/>
        </w:rPr>
        <w:t xml:space="preserve">здания, сооружения и бытовые вагончики (блок-контейнеры) должны быть убраны с территории энергообъекта в кратчайшие сроки.</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Проживание людей во </w:t>
      </w:r>
      <w:r>
        <w:rPr>
          <w:rFonts w:ascii="Times New Roman" w:hAnsi="Times New Roman" w:cs="Times New Roman"/>
          <w:color w:val="000000"/>
          <w:sz w:val="28"/>
          <w:szCs w:val="28"/>
        </w:rPr>
        <w:t xml:space="preserve">временных </w:t>
      </w:r>
      <w:r>
        <w:rPr>
          <w:rFonts w:ascii="Times New Roman" w:hAnsi="Times New Roman" w:cs="Times New Roman"/>
          <w:sz w:val="28"/>
          <w:szCs w:val="28"/>
        </w:rPr>
        <w:t xml:space="preserve">зданиях, сооружениях и бытовых вагончиках (блок-контейнерах) запрещается.</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территории ОРУ следует регулярно скашивать и вывозить скошенную траву.</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Запрещается хранение высушенной травы на территории подстанции и на прилегающей площадке (на расстоянии ближе 100 м).</w:t>
      </w:r>
      <w:r>
        <w:rPr>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Горючие отходы и мусор следует собирать в контейнеры или ящики, устанавливаемые на специально выделенных площадках (участках), и своевременно удалять с территории в соответствии с требованиями природоохранного законодательства.</w:t>
      </w:r>
      <w:r>
        <w:rPr>
          <w:rFonts w:ascii="Times New Roman" w:hAnsi="Times New Roman" w:cs="Times New Roman"/>
          <w:sz w:val="28"/>
          <w:szCs w:val="28"/>
        </w:rPr>
      </w:r>
    </w:p>
    <w:p>
      <w:pPr>
        <w:pStyle w:val="1142"/>
        <w:numPr>
          <w:ilvl w:val="1"/>
          <w:numId w:val="35"/>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Баллоны с ГГ, емкости (бутылки, бутыли, другая тара) с ЛВЖ и ГЖ должны быть защищены от солнечного и иного теплового воздействия. </w:t>
      </w:r>
      <w:r>
        <w:rPr>
          <w:rFonts w:ascii="Times New Roman" w:hAnsi="Times New Roman" w:cs="Times New Roman"/>
          <w:sz w:val="28"/>
          <w:szCs w:val="28"/>
        </w:rPr>
      </w:r>
    </w:p>
    <w:p>
      <w:pPr>
        <w:pStyle w:val="1184"/>
        <w:numPr>
          <w:ilvl w:val="1"/>
          <w:numId w:val="35"/>
        </w:numPr>
        <w:ind w:left="0" w:right="-1" w:firstLine="709"/>
        <w:jc w:val="both"/>
        <w:spacing w:before="0" w:beforeAutospacing="0" w:after="0" w:afterAutospacing="0"/>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Хранение тары с ЛВЖ и ГЖ, а также временное хранение демонтированного или нового маслонаполненного оборудования должно осуществляться на специально выделенных огороженных сетчатым ограждением и обвалованных участках.</w:t>
      </w:r>
      <w:r>
        <w:rPr>
          <w:rFonts w:ascii="Times New Roman" w:hAnsi="Times New Roman" w:eastAsia="Times New Roman" w:cs="Times New Roman"/>
          <w:color w:val="000000"/>
          <w:sz w:val="28"/>
          <w:szCs w:val="28"/>
        </w:rPr>
        <w:t xml:space="preserve"> </w:t>
      </w:r>
      <w:r>
        <w:rPr>
          <w:rFonts w:ascii="Times New Roman" w:hAnsi="Times New Roman" w:cs="Times New Roman"/>
          <w:color w:val="000000"/>
          <w:sz w:val="28"/>
          <w:szCs w:val="28"/>
        </w:rPr>
      </w:r>
    </w:p>
    <w:p>
      <w:pPr>
        <w:pStyle w:val="1184"/>
        <w:numPr>
          <w:ilvl w:val="1"/>
          <w:numId w:val="35"/>
        </w:numPr>
        <w:ind w:left="0" w:right="-1" w:firstLine="709"/>
        <w:jc w:val="both"/>
        <w:spacing w:before="0" w:beforeAutospacing="0" w:after="0" w:afterAutospacing="0"/>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наличие древесно-кустарниковой растительности на территории энергообъекта кроме специально отведенных мест, согласно проекту.</w:t>
      </w:r>
      <w:r>
        <w:rPr>
          <w:rFonts w:ascii="Times New Roman" w:hAnsi="Times New Roman" w:cs="Times New Roman"/>
          <w:sz w:val="28"/>
          <w:szCs w:val="28"/>
        </w:rPr>
      </w:r>
    </w:p>
    <w:p>
      <w:pPr>
        <w:pStyle w:val="1184"/>
        <w:numPr>
          <w:ilvl w:val="1"/>
          <w:numId w:val="35"/>
        </w:numPr>
        <w:ind w:left="0" w:right="-1" w:firstLine="709"/>
        <w:jc w:val="both"/>
        <w:spacing w:before="0" w:beforeAutospacing="0" w:after="0" w:afterAutospacing="0"/>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территории и в помещениях административных зданий управлений, административно-бытовых, производственных и вспомогательных зданий курение разрешается только </w:t>
      </w:r>
      <w:r>
        <w:rPr>
          <w:rFonts w:ascii="Times New Roman" w:hAnsi="Times New Roman" w:eastAsia="Times New Roman" w:cs="Times New Roman"/>
          <w:color w:val="000000"/>
          <w:sz w:val="28"/>
          <w:szCs w:val="28"/>
          <w:lang w:eastAsia="en-US"/>
        </w:rPr>
        <w:t xml:space="preserve">в специально выделенных местах на открытом воздухе или в изолированных помещениях, которые оборудованы системами вытяжной или приточно-вытяжной вентиляции</w:t>
      </w:r>
      <w:r>
        <w:rPr>
          <w:rFonts w:ascii="Times New Roman" w:hAnsi="Times New Roman" w:cs="Times New Roman"/>
          <w:sz w:val="28"/>
          <w:szCs w:val="28"/>
        </w:rPr>
        <w:t xml:space="preserve">.</w:t>
      </w:r>
      <w:r>
        <w:rPr>
          <w:rFonts w:ascii="Times New Roman" w:hAnsi="Times New Roman" w:cs="Times New Roman"/>
          <w:sz w:val="28"/>
          <w:szCs w:val="28"/>
        </w:rPr>
      </w:r>
    </w:p>
    <w:p>
      <w:pPr>
        <w:pStyle w:val="1184"/>
        <w:numPr>
          <w:ilvl w:val="1"/>
          <w:numId w:val="35"/>
        </w:numPr>
        <w:ind w:left="0" w:right="-1" w:firstLine="709"/>
        <w:jc w:val="both"/>
        <w:spacing w:before="0" w:beforeAutospacing="0" w:after="0" w:afterAutospacing="0"/>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Места для курения устанавливаются ОРД и обозначаются знаками «Место курения». В других местах курение запрещается. Места, где курение запрещается, обеспечиваются знаком пожарной безопасности «Запрещается курить».</w:t>
      </w:r>
      <w:r>
        <w:rPr>
          <w:rFonts w:ascii="Times New Roman" w:hAnsi="Times New Roman" w:cs="Times New Roman"/>
          <w:sz w:val="28"/>
          <w:szCs w:val="28"/>
        </w:rPr>
      </w:r>
    </w:p>
    <w:p>
      <w:pPr>
        <w:pStyle w:val="1184"/>
        <w:numPr>
          <w:ilvl w:val="1"/>
          <w:numId w:val="35"/>
        </w:numPr>
        <w:ind w:left="0" w:right="-1" w:firstLine="709"/>
        <w:jc w:val="both"/>
        <w:spacing w:before="0" w:beforeAutospacing="0" w:after="0" w:afterAutospacing="0"/>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Курение также запрещается на территории и в помещениях складов</w:t>
      </w:r>
      <w:r>
        <w:rPr>
          <w:rFonts w:ascii="Times New Roman" w:hAnsi="Times New Roman" w:cs="Times New Roman"/>
          <w:sz w:val="28"/>
          <w:szCs w:val="28"/>
        </w:rPr>
        <w:t xml:space="preserve"> и баз, объектов хранения ЛВЖ, ГЖ, и ГГ, на взрывопожароопасных и пожароопасных участках. На территории и в помещениях указанных объектов на видных местах должен быть установлен знак пожарной безопасности «Запрещается пользоваться открытым огнем и курить».</w:t>
      </w:r>
      <w:r>
        <w:rPr>
          <w:rFonts w:ascii="Times New Roman" w:hAnsi="Times New Roman" w:cs="Times New Roman"/>
          <w:sz w:val="28"/>
          <w:szCs w:val="28"/>
        </w:rPr>
      </w:r>
    </w:p>
    <w:p>
      <w:pPr>
        <w:pStyle w:val="1184"/>
        <w:numPr>
          <w:ilvl w:val="1"/>
          <w:numId w:val="35"/>
        </w:numPr>
        <w:ind w:left="0" w:right="120" w:firstLine="709"/>
        <w:jc w:val="both"/>
        <w:spacing w:before="0" w:beforeAutospacing="0" w:after="0" w:afterAutospacing="0"/>
        <w:shd w:val="clear" w:color="auto" w:fill="ffffff"/>
        <w:tabs>
          <w:tab w:val="left" w:pos="1701" w:leader="none"/>
        </w:tabs>
        <w:rPr>
          <w:rFonts w:ascii="Times New Roman" w:hAnsi="Times New Roman" w:cs="Times New Roman"/>
        </w:rPr>
      </w:pPr>
      <w:r>
        <w:rPr>
          <w:rFonts w:ascii="Times New Roman" w:hAnsi="Times New Roman" w:cs="Times New Roman"/>
          <w:sz w:val="28"/>
          <w:szCs w:val="28"/>
        </w:rPr>
        <w:t xml:space="preserve">Сжигание мусора и отходов на территории объектов Филиала запрещается.</w:t>
      </w:r>
      <w:r>
        <w:rPr>
          <w:rFonts w:ascii="Times New Roman" w:hAnsi="Times New Roman" w:cs="Times New Roman"/>
        </w:rPr>
      </w:r>
    </w:p>
    <w:p>
      <w:pPr>
        <w:pStyle w:val="1184"/>
        <w:ind w:right="120"/>
        <w:jc w:val="both"/>
        <w:spacing w:before="0" w:beforeAutospacing="0" w:after="0" w:afterAutospacing="0"/>
        <w:shd w:val="clear" w:color="auto" w:fill="ffffff"/>
        <w:tabs>
          <w:tab w:val="left" w:pos="1276" w:leader="none"/>
        </w:tabs>
        <w:rPr>
          <w:rFonts w:ascii="Times New Roman" w:hAnsi="Times New Roman" w:cs="Times New Roman"/>
          <w:color w:val="000000"/>
        </w:rPr>
      </w:pPr>
      <w:r>
        <w:rPr>
          <w:rFonts w:ascii="Times New Roman" w:hAnsi="Times New Roman" w:cs="Times New Roman"/>
          <w:color w:val="000000"/>
        </w:rPr>
      </w:r>
      <w:r>
        <w:rPr>
          <w:rFonts w:ascii="Times New Roman" w:hAnsi="Times New Roman" w:cs="Times New Roman"/>
          <w:color w:val="000000"/>
        </w:rPr>
      </w:r>
    </w:p>
    <w:p>
      <w:pPr>
        <w:pStyle w:val="1180"/>
        <w:numPr>
          <w:ilvl w:val="0"/>
          <w:numId w:val="93"/>
        </w:numPr>
        <w:ind w:left="0" w:firstLine="709"/>
        <w:jc w:val="both"/>
        <w:spacing w:before="0" w:beforeAutospacing="0" w:after="0" w:afterAutospacing="0"/>
        <w:tabs>
          <w:tab w:val="left" w:pos="1276" w:leader="none"/>
        </w:tabs>
        <w:rPr>
          <w:b/>
          <w:sz w:val="32"/>
          <w:szCs w:val="32"/>
        </w:rPr>
        <w:outlineLvl w:val="0"/>
      </w:pPr>
      <w:r/>
      <w:bookmarkStart w:id="46" w:name="Требования_ПБ_к_содерж_оборуд_зд_помещ_5"/>
      <w:r/>
      <w:bookmarkStart w:id="47" w:name="_Toc124499095"/>
      <w:r>
        <w:rPr>
          <w:b/>
          <w:sz w:val="32"/>
          <w:szCs w:val="32"/>
        </w:rPr>
        <w:t xml:space="preserve">Требования пожарной безопасности к содержанию оборудования, зданий, помещений и сооружений</w:t>
      </w:r>
      <w:bookmarkEnd w:id="46"/>
      <w:r/>
      <w:bookmarkEnd w:id="47"/>
      <w:r/>
      <w:r>
        <w:rPr>
          <w:b/>
          <w:sz w:val="32"/>
          <w:szCs w:val="32"/>
        </w:rPr>
      </w:r>
    </w:p>
    <w:p>
      <w:pPr>
        <w:pStyle w:val="1180"/>
        <w:ind w:firstLine="709"/>
        <w:jc w:val="both"/>
        <w:spacing w:before="0" w:beforeAutospacing="0" w:after="0" w:afterAutospacing="0"/>
        <w:tabs>
          <w:tab w:val="left" w:pos="1418" w:leader="none"/>
        </w:tabs>
        <w:rPr>
          <w:b/>
        </w:rPr>
      </w:pPr>
      <w:r>
        <w:rPr>
          <w:b/>
        </w:rPr>
      </w:r>
      <w:r>
        <w:rPr>
          <w:b/>
        </w:rPr>
      </w:r>
    </w:p>
    <w:p>
      <w:pPr>
        <w:pStyle w:val="1180"/>
        <w:numPr>
          <w:ilvl w:val="1"/>
          <w:numId w:val="27"/>
        </w:numPr>
        <w:ind w:left="0" w:firstLine="709"/>
        <w:jc w:val="both"/>
        <w:spacing w:before="0" w:beforeAutospacing="0" w:after="0" w:afterAutospacing="0"/>
        <w:tabs>
          <w:tab w:val="left" w:pos="1418" w:leader="none"/>
        </w:tabs>
        <w:rPr>
          <w:b/>
          <w:sz w:val="28"/>
          <w:szCs w:val="28"/>
        </w:rPr>
        <w:outlineLvl w:val="1"/>
      </w:pPr>
      <w:r/>
      <w:bookmarkStart w:id="48" w:name="Основные_положения_5_1"/>
      <w:r/>
      <w:bookmarkStart w:id="49" w:name="_Toc112328560"/>
      <w:r/>
      <w:bookmarkStart w:id="50" w:name="_Toc124499096"/>
      <w:r>
        <w:rPr>
          <w:b/>
          <w:sz w:val="28"/>
          <w:szCs w:val="28"/>
        </w:rPr>
        <w:t xml:space="preserve">Основные </w:t>
      </w:r>
      <w:bookmarkEnd w:id="48"/>
      <w:r>
        <w:rPr>
          <w:b/>
          <w:sz w:val="28"/>
          <w:szCs w:val="28"/>
        </w:rPr>
        <w:t xml:space="preserve">требования к содержанию зданий, сооружений и помещений</w:t>
      </w:r>
      <w:bookmarkEnd w:id="49"/>
      <w:r/>
      <w:bookmarkEnd w:id="50"/>
      <w:r/>
      <w:r>
        <w:rPr>
          <w:b/>
          <w:sz w:val="28"/>
          <w:szCs w:val="28"/>
        </w:rPr>
      </w:r>
    </w:p>
    <w:p>
      <w:pPr>
        <w:pStyle w:val="1180"/>
        <w:ind w:left="709"/>
        <w:jc w:val="both"/>
        <w:spacing w:before="0" w:beforeAutospacing="0" w:after="0" w:afterAutospacing="0"/>
        <w:tabs>
          <w:tab w:val="left" w:pos="1276" w:leader="none"/>
          <w:tab w:val="left" w:pos="1985" w:leader="none"/>
        </w:tabs>
        <w:rPr>
          <w:b/>
          <w:sz w:val="28"/>
          <w:szCs w:val="28"/>
        </w:rPr>
      </w:pPr>
      <w:r>
        <w:rPr>
          <w:b/>
          <w:sz w:val="28"/>
          <w:szCs w:val="28"/>
        </w:rPr>
      </w:r>
      <w:r>
        <w:rPr>
          <w:b/>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Во всех административных зданиях управлений Филиала, зданиях административно-бытового, производственного и вспомогательного назначения должен соблюдаться установленный противопожарный режим для обеспечения нормальных и безопасных условий труда персонала.</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В процессе эксплуатации следует обеспечивать содержание зданий, сооружений, оборудования и работоспособность систем противопожарной защиты в соответствии с требованиями проектной и технической документации на них.</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помещениях персонала, осуществляющего круглосуточное дежурство на видном месте должны быть вывешены таблички с номером телефона для вызова пожарной охраны.</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bCs/>
          <w:color w:val="000000"/>
          <w:sz w:val="28"/>
          <w:szCs w:val="28"/>
        </w:rPr>
        <w:t xml:space="preserve">Проживание людей в зданиях и сооружениях производственного и складского назначения, расположенных на территории </w:t>
      </w:r>
      <w:r>
        <w:rPr>
          <w:rFonts w:ascii="Times New Roman" w:hAnsi="Times New Roman" w:cs="Times New Roman"/>
          <w:sz w:val="28"/>
          <w:szCs w:val="28"/>
        </w:rPr>
        <w:t xml:space="preserve">Филиала</w:t>
      </w:r>
      <w:r>
        <w:rPr>
          <w:rFonts w:ascii="Times New Roman" w:hAnsi="Times New Roman" w:cs="Times New Roman"/>
          <w:bCs/>
          <w:color w:val="000000"/>
          <w:sz w:val="28"/>
          <w:szCs w:val="28"/>
        </w:rPr>
        <w:t xml:space="preserve"> запрещается.</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Запрещается оставлять по окончании рабочего времени не обесточенными (не отключенными от электрической сети) электропотребители, в том числе бытовые электроприборы, за исключением помещений, в которых находится дежурный </w:t>
      </w:r>
      <w:r>
        <w:rPr>
          <w:rFonts w:ascii="Times New Roman" w:hAnsi="Times New Roman" w:cs="Times New Roman"/>
          <w:bCs/>
          <w:color w:val="000000"/>
          <w:sz w:val="28"/>
          <w:szCs w:val="28"/>
        </w:rPr>
        <w:t xml:space="preserve">персонал, электропотребители дежурного освещения, систем противопожарной защиты, а также другие электроустановки и электротехнические приборы, если это обусловлено их функциональным назначением и (или) предусмотрено требованиями инструкции по эксплуатации.</w:t>
      </w:r>
      <w:r>
        <w:rPr>
          <w:rFonts w:ascii="Times New Roman" w:hAnsi="Times New Roman" w:cs="Times New Roman"/>
          <w:bCs/>
          <w:color w:val="000000"/>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Для каждого здания или сооружения (кроме жилых домов), в котором могут одновременно находиться 50 и более человек (далее – объект защиты с массовым пребыванием людей</w:t>
      </w:r>
      <w:r>
        <w:rPr>
          <w:rFonts w:ascii="Times New Roman" w:hAnsi="Times New Roman" w:cs="Times New Roman"/>
          <w:sz w:val="28"/>
          <w:szCs w:val="28"/>
        </w:rPr>
        <w:t xml:space="preserve">)</w:t>
      </w:r>
      <w:r>
        <w:rPr>
          <w:rFonts w:ascii="Times New Roman" w:hAnsi="Times New Roman" w:cs="Times New Roman"/>
          <w:color w:val="000000"/>
          <w:sz w:val="28"/>
          <w:szCs w:val="28"/>
        </w:rPr>
        <w:t xml:space="preserve">, а также для объекта с постоянными рабочими местами на этаже для 10 и более человек руководитель </w:t>
      </w:r>
      <w:r>
        <w:rPr>
          <w:rFonts w:ascii="Times New Roman" w:hAnsi="Times New Roman" w:cs="Times New Roman"/>
          <w:sz w:val="28"/>
          <w:szCs w:val="28"/>
        </w:rPr>
        <w:t xml:space="preserve">Филиала</w:t>
      </w:r>
      <w:r>
        <w:rPr>
          <w:rFonts w:ascii="Times New Roman" w:hAnsi="Times New Roman" w:cs="Times New Roman"/>
          <w:color w:val="000000"/>
          <w:sz w:val="28"/>
          <w:szCs w:val="28"/>
        </w:rPr>
        <w:t xml:space="preserve"> должен организовать разработку планов эвакуации людей при пожаре, которые должны размещаться на видных местах.</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На объекте защиты с массовым пребыванием людей </w:t>
      </w:r>
      <w:r>
        <w:rPr>
          <w:rFonts w:ascii="Times New Roman" w:hAnsi="Times New Roman" w:cs="Times New Roman"/>
          <w:sz w:val="28"/>
          <w:szCs w:val="28"/>
        </w:rPr>
        <w:t xml:space="preserve">руководитель Филиала должен обеспечить проведение</w:t>
      </w:r>
      <w:r>
        <w:rPr>
          <w:rFonts w:ascii="Times New Roman" w:hAnsi="Times New Roman" w:cs="Times New Roman"/>
          <w:color w:val="ff0000"/>
          <w:sz w:val="28"/>
          <w:szCs w:val="28"/>
        </w:rPr>
        <w:t xml:space="preserve"> </w:t>
      </w:r>
      <w:r>
        <w:rPr>
          <w:rFonts w:ascii="Times New Roman" w:hAnsi="Times New Roman" w:cs="Times New Roman"/>
          <w:color w:val="000000"/>
          <w:sz w:val="28"/>
          <w:szCs w:val="28"/>
        </w:rPr>
        <w:t xml:space="preserve">не реже 1 раза в полугодие практических тренировок по эвакуации работников, осуществляющих свою деятельность на таком объекте защиты. </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color w:val="ff0000"/>
          <w:sz w:val="28"/>
          <w:szCs w:val="28"/>
        </w:rPr>
      </w:pPr>
      <w:r>
        <w:rPr>
          <w:rFonts w:ascii="Times New Roman" w:hAnsi="Times New Roman" w:cs="Times New Roman"/>
          <w:sz w:val="28"/>
          <w:szCs w:val="28"/>
        </w:rPr>
        <w:t xml:space="preserve">Не допускается в помещениях с одним эвакуационным выходом одновременное пребывание более 50 человек. При этом в зданиях IV и V степени огнестойкости одновременное пребывание более 50 человек допускается только в помещениях 1-го этажа.</w:t>
      </w:r>
      <w:r>
        <w:rPr>
          <w:rFonts w:ascii="Times New Roman" w:hAnsi="Times New Roman" w:cs="Times New Roman"/>
          <w:color w:val="ff0000"/>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объектах защиты с массовым пребыванием людей запрещается:</w:t>
      </w:r>
      <w:r>
        <w:rPr>
          <w:rFonts w:ascii="Times New Roman" w:hAnsi="Times New Roman" w:cs="Times New Roman"/>
          <w:sz w:val="28"/>
          <w:szCs w:val="28"/>
        </w:rPr>
      </w:r>
    </w:p>
    <w:p>
      <w:pPr>
        <w:pStyle w:val="1142"/>
        <w:numPr>
          <w:ilvl w:val="0"/>
          <w:numId w:val="5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Проводить перед началом или во время представлений огневые, покрасочные и другие пожароопасные и пожаровзрывоопасные работы.</w:t>
      </w:r>
      <w:r>
        <w:rPr>
          <w:rFonts w:ascii="Times New Roman" w:hAnsi="Times New Roman" w:cs="Times New Roman"/>
          <w:sz w:val="28"/>
          <w:szCs w:val="28"/>
        </w:rPr>
      </w:r>
    </w:p>
    <w:p>
      <w:pPr>
        <w:pStyle w:val="1142"/>
        <w:numPr>
          <w:ilvl w:val="0"/>
          <w:numId w:val="5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Уменьшать ширину проходов между рядами и устанавливать в проходах дополнительные кресла, стулья и др.</w:t>
      </w:r>
      <w:r>
        <w:rPr>
          <w:rFonts w:ascii="Times New Roman" w:hAnsi="Times New Roman" w:cs="Times New Roman"/>
          <w:sz w:val="28"/>
          <w:szCs w:val="28"/>
        </w:rPr>
      </w:r>
    </w:p>
    <w:p>
      <w:pPr>
        <w:pStyle w:val="1142"/>
        <w:numPr>
          <w:ilvl w:val="0"/>
          <w:numId w:val="5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Превышать нормативное количество одновременно находящихся в помещениях людей и (или) количество, определен</w:t>
      </w:r>
      <w:r>
        <w:rPr>
          <w:rFonts w:ascii="Times New Roman" w:hAnsi="Times New Roman" w:cs="Times New Roman"/>
          <w:sz w:val="28"/>
          <w:szCs w:val="28"/>
        </w:rPr>
        <w:t xml:space="preserve">ное расчетом, исходя из условий обеспечения безопасной эвакуации людей при пожаре. При отсутствии таких норм или расчетных данных максимально допустимое количество одновременно находящихся в помещении людей следует принимать, исходя из расчета не менее 1 м</w:t>
      </w:r>
      <w:r>
        <w:rPr>
          <w:rFonts w:ascii="Times New Roman" w:hAnsi="Times New Roman" w:cs="Times New Roman"/>
          <w:sz w:val="28"/>
          <w:szCs w:val="28"/>
          <w:vertAlign w:val="superscript"/>
        </w:rPr>
        <w:t xml:space="preserve">2</w:t>
      </w:r>
      <w:r>
        <w:rPr>
          <w:rFonts w:ascii="Times New Roman" w:hAnsi="Times New Roman" w:cs="Times New Roman"/>
          <w:sz w:val="28"/>
          <w:szCs w:val="28"/>
        </w:rPr>
        <w:t xml:space="preserve"> на человека.</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На объекте защиты с массовым пребыванием людей должно быть обеспечено наличие:</w:t>
      </w:r>
      <w:r>
        <w:rPr>
          <w:rFonts w:ascii="Times New Roman" w:hAnsi="Times New Roman" w:cs="Times New Roman"/>
          <w:color w:val="000000"/>
          <w:sz w:val="28"/>
          <w:szCs w:val="28"/>
        </w:rPr>
      </w:r>
    </w:p>
    <w:p>
      <w:pPr>
        <w:pStyle w:val="1142"/>
        <w:numPr>
          <w:ilvl w:val="0"/>
          <w:numId w:val="6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Телефонной связи у дежурного (дежурных).</w:t>
      </w:r>
      <w:r>
        <w:rPr>
          <w:rFonts w:ascii="Times New Roman" w:hAnsi="Times New Roman" w:cs="Times New Roman"/>
          <w:color w:val="000000"/>
          <w:sz w:val="28"/>
          <w:szCs w:val="28"/>
        </w:rPr>
      </w:r>
    </w:p>
    <w:p>
      <w:pPr>
        <w:pStyle w:val="1142"/>
        <w:numPr>
          <w:ilvl w:val="0"/>
          <w:numId w:val="6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Исправных ручных электрических фонарей из расчета не менее 1 фонаря на каждого дежурного.</w:t>
      </w:r>
      <w:r>
        <w:rPr>
          <w:rFonts w:ascii="Times New Roman" w:hAnsi="Times New Roman" w:cs="Times New Roman"/>
          <w:color w:val="000000"/>
          <w:sz w:val="28"/>
          <w:szCs w:val="28"/>
        </w:rPr>
      </w:r>
    </w:p>
    <w:p>
      <w:pPr>
        <w:pStyle w:val="1142"/>
        <w:numPr>
          <w:ilvl w:val="0"/>
          <w:numId w:val="6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Средств индивидуальной защиты органов дыхания и зрения человека от опасных факторов пожара (фильтрующих или изолирующих самоспасателей, противогазов и т.п.) из расчета не менее 1 средства </w:t>
      </w:r>
      <w:r>
        <w:rPr>
          <w:rFonts w:ascii="Times New Roman" w:hAnsi="Times New Roman" w:cs="Times New Roman"/>
          <w:color w:val="000000"/>
          <w:sz w:val="28"/>
          <w:szCs w:val="28"/>
        </w:rPr>
        <w:t xml:space="preserve">индивидуальной защиты органов дыхания и зрения человека от опасных факторов пожара (с учетом сроков их хранения (годности) на каждого дежурного (при их наличии).</w:t>
      </w:r>
      <w:r>
        <w:rPr>
          <w:rFonts w:ascii="Times New Roman" w:hAnsi="Times New Roman" w:cs="Times New Roman"/>
          <w:color w:val="000000"/>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входных дверях помещений производственного и складского </w:t>
      </w:r>
      <w:r>
        <w:rPr>
          <w:rFonts w:ascii="Times New Roman" w:hAnsi="Times New Roman" w:cs="Times New Roman"/>
          <w:sz w:val="28"/>
          <w:szCs w:val="28"/>
        </w:rPr>
        <w:t xml:space="preserve">назначения (за исключением помещений категории Д по пожарной опасности) с наружной стороны и на наружных установках в зоне их обслуживания на видном месте должны быть обозначены их категории по взрывопожарной и пожарной опасности, а также указан класс зоны</w:t>
      </w:r>
      <w:r>
        <w:rPr>
          <w:rFonts w:ascii="Times New Roman" w:hAnsi="Times New Roman" w:cs="Times New Roman"/>
          <w:b/>
          <w:sz w:val="28"/>
          <w:szCs w:val="28"/>
        </w:rPr>
        <w:t xml:space="preserve"> </w:t>
      </w:r>
      <w:r>
        <w:rPr>
          <w:rFonts w:ascii="Times New Roman" w:hAnsi="Times New Roman" w:cs="Times New Roman"/>
          <w:sz w:val="28"/>
          <w:szCs w:val="28"/>
        </w:rPr>
        <w:t xml:space="preserve">в соответствии с главами 5, 7 и 8 Федерального закона «Технический регламент о требованиях пожарной безопасности».</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Огнезащитные составы (покрытия) и</w:t>
      </w:r>
      <w:r>
        <w:rPr>
          <w:rFonts w:ascii="Times New Roman" w:hAnsi="Times New Roman" w:cs="Times New Roman"/>
          <w:sz w:val="28"/>
          <w:szCs w:val="28"/>
        </w:rPr>
        <w:t xml:space="preserve"> строительные материалы (облицовки) следует применять для повышения пределов огнестойкости строительных конструкций до требуемых значений и для предотвращения возгорания и (или) распространения пожара при эксплуатации кабелей, кабельных линий и сооружений.</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Необходимость применения и выбор способа огнезащиты определяются на основании проектных решений в зависимости от конструктивных особенностей и условий эксплуатации строительных конструкций, кабелей, кабельных линий и сооружений.</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 применению допускаются только ОЗС, которые прошли в установленном порядке сертификацию на соответствие требованиям пожарной безопасности.</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Работы по огнезащите должны производиться, как правило, в период строительства или реконструкции объекта в соответствии с принятыми проектными решениями. В период эксплуатации необходимо обеспечивать проверку состояния, устранение повреждений огнезащитн</w:t>
      </w:r>
      <w:r>
        <w:rPr>
          <w:rFonts w:ascii="Times New Roman" w:hAnsi="Times New Roman" w:cs="Times New Roman"/>
          <w:sz w:val="28"/>
          <w:szCs w:val="28"/>
        </w:rPr>
        <w:t xml:space="preserve">ого покрытия строительных конструкций, инженерного оборудования объектов защиты в соответствии с нормативными документами по пожарной безопасности, а также технической документацией изготовителя средства огнезащиты и (или) производителя огнезащитных работ.</w:t>
      </w:r>
      <w:r>
        <w:rPr>
          <w:rFonts w:ascii="Times New Roman" w:hAnsi="Times New Roman" w:cs="Times New Roman"/>
          <w:lang w:eastAsia="en-US"/>
        </w:rPr>
        <w:t xml:space="preserve"> </w:t>
      </w:r>
      <w:r>
        <w:rPr>
          <w:rFonts w:ascii="Times New Roman" w:hAnsi="Times New Roman" w:cs="Times New Roman"/>
          <w:sz w:val="28"/>
          <w:szCs w:val="28"/>
        </w:rPr>
      </w:r>
    </w:p>
    <w:p>
      <w:pPr>
        <w:pStyle w:val="1142"/>
        <w:numPr>
          <w:ilvl w:val="2"/>
          <w:numId w:val="28"/>
        </w:numPr>
        <w:ind w:left="0" w:firstLine="709"/>
        <w:jc w:val="both"/>
        <w:tabs>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Все работы по огнезащите должны производиться организациями, имеющими лицензию на право выполнения работ по огнезащите материалов, изделий и конструкций.</w:t>
      </w:r>
      <w:r>
        <w:rPr>
          <w:rFonts w:ascii="Times New Roman" w:hAnsi="Times New Roman" w:cs="Times New Roman"/>
          <w:sz w:val="28"/>
          <w:szCs w:val="28"/>
        </w:rPr>
      </w:r>
    </w:p>
    <w:p>
      <w:pPr>
        <w:pStyle w:val="1142"/>
        <w:numPr>
          <w:ilvl w:val="2"/>
          <w:numId w:val="28"/>
        </w:numPr>
        <w:ind w:left="0" w:firstLine="709"/>
        <w:jc w:val="both"/>
        <w:tabs>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Техническая документация изготовителя средств огнезащиты и (или) производителя огнезащитных работ должна храниться на объекте защиты.</w:t>
      </w:r>
      <w:r>
        <w:rPr>
          <w:rFonts w:ascii="Times New Roman" w:hAnsi="Times New Roman" w:cs="Times New Roman"/>
          <w:sz w:val="28"/>
          <w:szCs w:val="28"/>
        </w:rPr>
      </w:r>
    </w:p>
    <w:p>
      <w:pPr>
        <w:pStyle w:val="1142"/>
        <w:numPr>
          <w:ilvl w:val="2"/>
          <w:numId w:val="28"/>
        </w:numPr>
        <w:ind w:left="0" w:firstLine="709"/>
        <w:jc w:val="both"/>
        <w:tabs>
          <w:tab w:val="left" w:pos="1560" w:leader="none"/>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 отсутствии в технической документации сведений о периодичности проверки состояния огнезащитного покрытия она проводится не реже 1 раза в год</w:t>
      </w:r>
      <w:r>
        <w:rPr>
          <w:rFonts w:ascii="Times New Roman" w:hAnsi="Times New Roman" w:cs="Times New Roman"/>
          <w:sz w:val="28"/>
          <w:szCs w:val="28"/>
        </w:rPr>
        <w:t xml:space="preserve">. По результатам проверки составляется акт (протокол) проверки состояния огнезащитного покрытия с указанием места (мест) повреждений огнезащитного покрытия, описанием характера повреждений (при наличии) и рекомендуемых сроках их устранения.</w:t>
      </w:r>
      <w:r>
        <w:rPr>
          <w:rFonts w:ascii="Times New Roman" w:hAnsi="Times New Roman" w:cs="Times New Roman"/>
          <w:color w:val="000000"/>
          <w:sz w:val="28"/>
          <w:szCs w:val="28"/>
        </w:rPr>
      </w:r>
    </w:p>
    <w:p>
      <w:pPr>
        <w:pStyle w:val="1142"/>
        <w:numPr>
          <w:ilvl w:val="2"/>
          <w:numId w:val="28"/>
        </w:numPr>
        <w:ind w:left="0" w:firstLine="709"/>
        <w:jc w:val="both"/>
        <w:tabs>
          <w:tab w:val="left" w:pos="1560" w:leader="none"/>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В соответствии с технической (проектной) документацией изготовителя средства огнезащиты и (или) производителя огнезащитных работ </w:t>
      </w:r>
      <w:r>
        <w:rPr>
          <w:rFonts w:ascii="Times New Roman" w:hAnsi="Times New Roman" w:cs="Times New Roman"/>
          <w:sz w:val="28"/>
          <w:szCs w:val="28"/>
        </w:rPr>
        <w:t xml:space="preserve">необходимо проводить повторную огнезащитную обработку конструкций и инженерного оборудования объектов защиты или ежегодно проводить испытания огнезащитного покрытия, подтверждающ</w:t>
      </w:r>
      <w:r>
        <w:rPr>
          <w:rFonts w:ascii="Times New Roman" w:hAnsi="Times New Roman" w:cs="Times New Roman"/>
          <w:sz w:val="28"/>
          <w:szCs w:val="28"/>
        </w:rPr>
        <w:t xml:space="preserve">ие соответствие конструкций и инженерного оборудования требованиям пожарной безопасности. Соответствие конструкций и инженерного оборудования требованиям пожарной безопасности можно также обосновывать проводимыми ежегодно расчетно-аналитическими методами. </w:t>
      </w:r>
      <w:r>
        <w:rPr>
          <w:rFonts w:ascii="Times New Roman" w:hAnsi="Times New Roman" w:cs="Times New Roman"/>
          <w:color w:val="000000"/>
          <w:sz w:val="28"/>
          <w:szCs w:val="28"/>
        </w:rPr>
      </w:r>
    </w:p>
    <w:p>
      <w:pPr>
        <w:pStyle w:val="1142"/>
        <w:numPr>
          <w:ilvl w:val="2"/>
          <w:numId w:val="28"/>
        </w:numPr>
        <w:ind w:left="0" w:firstLine="709"/>
        <w:jc w:val="both"/>
        <w:tabs>
          <w:tab w:val="left" w:pos="1560" w:leader="none"/>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Устранение выявленных нарушений огнезащитных по</w:t>
      </w:r>
      <w:r>
        <w:rPr>
          <w:rFonts w:ascii="Times New Roman" w:hAnsi="Times New Roman" w:cs="Times New Roman"/>
          <w:color w:val="000000"/>
          <w:sz w:val="28"/>
          <w:szCs w:val="28"/>
        </w:rPr>
        <w:t xml:space="preserve">крытий (штукатурки, специальных красок, лаков, обмазок) строительных конструкций, горючих отделочных и теплоизоляционных материалов, воздуховодов, металлических опор оборудования и эстакад, кабелей и кабельных линий необходимо проводить в кратчайшие сроки.</w:t>
      </w:r>
      <w:r>
        <w:rPr>
          <w:rFonts w:ascii="Times New Roman" w:hAnsi="Times New Roman" w:cs="Times New Roman"/>
          <w:color w:val="000000"/>
          <w:sz w:val="28"/>
          <w:szCs w:val="28"/>
        </w:rPr>
      </w:r>
    </w:p>
    <w:p>
      <w:pPr>
        <w:pStyle w:val="1142"/>
        <w:numPr>
          <w:ilvl w:val="2"/>
          <w:numId w:val="28"/>
        </w:numPr>
        <w:ind w:left="0" w:firstLine="709"/>
        <w:jc w:val="both"/>
        <w:tabs>
          <w:tab w:val="left" w:pos="709"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случае образования отверстий и зазоров в местах пересечения противопожарных преград инженерными и технологическими коммуникациями (в том числе электриче</w:t>
      </w:r>
      <w:r>
        <w:rPr>
          <w:rFonts w:ascii="Times New Roman" w:hAnsi="Times New Roman" w:cs="Times New Roman"/>
          <w:sz w:val="28"/>
          <w:szCs w:val="28"/>
        </w:rPr>
        <w:t xml:space="preserve">скими проводами и кабелями) в кратчайшие сроки должно быть организовано проведение работ по заделке таких отверстий и зазоров негорючими материалами, обеспечивающими предел огнестойкости, соответствующий противопожарной преграде, и дымогазонепроницаемость.</w:t>
      </w:r>
      <w:r>
        <w:rPr>
          <w:rFonts w:ascii="Times New Roman" w:hAnsi="Times New Roman" w:cs="Times New Roman"/>
          <w:sz w:val="28"/>
          <w:szCs w:val="28"/>
        </w:rPr>
      </w:r>
    </w:p>
    <w:p>
      <w:pPr>
        <w:pStyle w:val="1142"/>
        <w:numPr>
          <w:ilvl w:val="2"/>
          <w:numId w:val="28"/>
        </w:numPr>
        <w:ind w:left="0" w:firstLine="709"/>
        <w:jc w:val="both"/>
        <w:tabs>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Нар</w:t>
      </w:r>
      <w:r>
        <w:rPr>
          <w:rFonts w:ascii="Times New Roman" w:hAnsi="Times New Roman" w:cs="Times New Roman"/>
          <w:sz w:val="28"/>
          <w:szCs w:val="28"/>
        </w:rPr>
        <w:t xml:space="preserve">ужные пожарные лестницы, наружные открытые лестницы, предназначенные для эвакуации людей из зданий и сооружений при пожаре, а также ограждения кровель зданий и сооружений должны содержаться в исправном состоянии, очищаться от снега и наледи в зимнее время.</w:t>
      </w:r>
      <w:r>
        <w:rPr>
          <w:rFonts w:ascii="Times New Roman" w:hAnsi="Times New Roman" w:cs="Times New Roman"/>
          <w:sz w:val="28"/>
          <w:szCs w:val="28"/>
        </w:rPr>
      </w:r>
    </w:p>
    <w:p>
      <w:pPr>
        <w:pStyle w:val="1142"/>
        <w:numPr>
          <w:ilvl w:val="2"/>
          <w:numId w:val="28"/>
        </w:numPr>
        <w:ind w:left="0" w:firstLine="709"/>
        <w:jc w:val="both"/>
        <w:tabs>
          <w:tab w:val="left" w:pos="1560" w:leader="none"/>
        </w:tabs>
        <w:rPr>
          <w:rFonts w:ascii="Times New Roman" w:hAnsi="Times New Roman" w:cs="Times New Roman"/>
          <w:sz w:val="28"/>
          <w:szCs w:val="28"/>
        </w:rPr>
      </w:pPr>
      <w:r>
        <w:rPr>
          <w:rFonts w:ascii="Times New Roman" w:hAnsi="Times New Roman" w:cs="Times New Roman"/>
          <w:sz w:val="28"/>
          <w:szCs w:val="28"/>
        </w:rPr>
        <w:t xml:space="preserve">В течение всего срока эксплуатации наружных пожарных лестниц, металлических наружных открытых лестниц, предназначенных для эвакуации людей из зданий и сооружений при пожар</w:t>
      </w:r>
      <w:r>
        <w:rPr>
          <w:rFonts w:ascii="Times New Roman" w:hAnsi="Times New Roman" w:cs="Times New Roman"/>
          <w:sz w:val="28"/>
          <w:szCs w:val="28"/>
        </w:rPr>
        <w:t xml:space="preserve">е, а также ограждений кровель должны проводиться эксплуатационные испытания с периодичностью не реже 1 раза в 5 лет с составлением соответствующего протокола испытаний и внесением информации в журнал эксплуатации систем противопожарной защиты (Приложение А</w:t>
      </w:r>
      <w:r>
        <w:rPr>
          <w:sz w:val="28"/>
          <w:szCs w:val="28"/>
        </w:rPr>
        <w:t xml:space="preserve"> </w:t>
      </w:r>
      <w:r>
        <w:rPr>
          <w:rFonts w:ascii="Times New Roman" w:hAnsi="Times New Roman" w:cs="Times New Roman"/>
          <w:sz w:val="28"/>
          <w:szCs w:val="28"/>
        </w:rPr>
        <w:t xml:space="preserve">к насто</w:t>
      </w:r>
      <w:r>
        <w:rPr>
          <w:rFonts w:ascii="Times New Roman" w:hAnsi="Times New Roman" w:cs="Times New Roman"/>
          <w:sz w:val="28"/>
          <w:szCs w:val="28"/>
        </w:rPr>
        <w:t xml:space="preserve">ящим указаниям), а также нанесением табличек на поверхность конструкций с указанием результатов испытаний. Испытания должны проводить организации, имеющие обученный персонал, аттестованное оборудование и измерительный инструмент с результатами его поверок.</w:t>
      </w:r>
      <w:r>
        <w:rPr>
          <w:rFonts w:ascii="Times New Roman" w:hAnsi="Times New Roman" w:cs="Times New Roman"/>
          <w:sz w:val="28"/>
          <w:szCs w:val="28"/>
        </w:rPr>
      </w:r>
    </w:p>
    <w:p>
      <w:pPr>
        <w:pStyle w:val="1142"/>
        <w:ind w:left="0" w:firstLine="709"/>
        <w:jc w:val="both"/>
        <w:tabs>
          <w:tab w:val="left" w:pos="1560" w:leader="none"/>
        </w:tabs>
        <w:rPr>
          <w:rFonts w:ascii="Times New Roman" w:hAnsi="Times New Roman" w:cs="Times New Roman"/>
          <w:sz w:val="28"/>
          <w:szCs w:val="28"/>
        </w:rPr>
      </w:pPr>
      <w:r>
        <w:rPr>
          <w:rFonts w:ascii="Times New Roman" w:hAnsi="Times New Roman" w:cs="Times New Roman"/>
          <w:sz w:val="28"/>
          <w:szCs w:val="28"/>
        </w:rPr>
        <w:t xml:space="preserve">Не реже 1 раза в год необходимо проводить визуальный осмотр наружных пожарных л</w:t>
      </w:r>
      <w:r>
        <w:rPr>
          <w:rFonts w:ascii="Times New Roman" w:hAnsi="Times New Roman" w:cs="Times New Roman"/>
          <w:sz w:val="28"/>
          <w:szCs w:val="28"/>
        </w:rPr>
        <w:t xml:space="preserve">естниц, наружных открытых лестниц, предназначенных для эвакуации людей из зданий и сооружений при пожаре, а также ограждений кровель на предмет целостности конструкций и состояния лакокрасочных покрытий с оформлением акта (протокола) о результатах осмотра.</w:t>
      </w:r>
      <w:r>
        <w:rPr>
          <w:rFonts w:ascii="Times New Roman" w:hAnsi="Times New Roman" w:cs="Times New Roman"/>
          <w:sz w:val="28"/>
          <w:szCs w:val="28"/>
        </w:rPr>
      </w:r>
    </w:p>
    <w:p>
      <w:pPr>
        <w:numPr>
          <w:ilvl w:val="2"/>
          <w:numId w:val="28"/>
        </w:numPr>
        <w:ind w:left="0" w:firstLine="709"/>
        <w:jc w:val="both"/>
        <w:tabs>
          <w:tab w:val="left" w:pos="1701" w:leader="none"/>
        </w:tabs>
        <w:rPr>
          <w:sz w:val="28"/>
          <w:szCs w:val="28"/>
        </w:rPr>
      </w:pPr>
      <w:r>
        <w:rPr>
          <w:sz w:val="28"/>
          <w:szCs w:val="28"/>
        </w:rPr>
        <w:t xml:space="preserve">Применение в процессах производства материалов и веществ с неисследованными показателями их пожаровзрывоопасности или не имеющих сертификатов пожарной безопасности, а также их хранение совместно с другими материалами и веществами не допускается.</w:t>
      </w:r>
      <w:r>
        <w:rPr>
          <w:sz w:val="28"/>
          <w:szCs w:val="28"/>
        </w:rPr>
      </w:r>
    </w:p>
    <w:p>
      <w:pPr>
        <w:pStyle w:val="1142"/>
        <w:numPr>
          <w:ilvl w:val="2"/>
          <w:numId w:val="28"/>
        </w:numPr>
        <w:ind w:left="0" w:firstLine="709"/>
        <w:jc w:val="both"/>
        <w:tabs>
          <w:tab w:val="left" w:pos="993"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Во всех административных зданиях управлений Филиала, </w:t>
      </w:r>
      <w:r>
        <w:rPr>
          <w:rFonts w:ascii="Times New Roman" w:hAnsi="Times New Roman" w:cs="Times New Roman"/>
          <w:sz w:val="28"/>
          <w:szCs w:val="28"/>
        </w:rPr>
        <w:t xml:space="preserve">зданиях административно-бытового, производственного, складского и вспомогательного назначения запрещается:</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Использовать чердаки, технические, подвальные, подземные и цокольные этажи, подполья, вентиляционные ка</w:t>
      </w:r>
      <w:r>
        <w:rPr>
          <w:rFonts w:ascii="Times New Roman" w:hAnsi="Times New Roman" w:cs="Times New Roman"/>
          <w:sz w:val="28"/>
          <w:szCs w:val="28"/>
        </w:rPr>
        <w:t xml:space="preserve">меры и другие технические помещения для организации производственных участков, мастерских, а также для хранения и применения легковоспламеняющихся и горючих жидкостей, пороха, взрывчатых веществ, пиротехнических изделий, баллонов с горючими газами, товаров</w:t>
      </w:r>
      <w:r>
        <w:rPr>
          <w:rFonts w:ascii="Times New Roman" w:hAnsi="Times New Roman" w:cs="Times New Roman"/>
          <w:sz w:val="28"/>
          <w:szCs w:val="28"/>
        </w:rPr>
        <w:t xml:space="preserve"> в аэрозольной упаковке, пожаровзрывоопасных (пожароопасных) веществ и материалов, отходов любых классов опасности, продукции, оборудования, мебели и других предметов, за исключением случаев, установленных нормативными документами по пожарной безопасности.</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Располагать и эксплуатировать в лифтовых холлах кладовые, нестационарные торговые объекты, а также хранить и размещать горючие материалы.</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w:t>
      </w:r>
      <w:r>
        <w:rPr>
          <w:rFonts w:ascii="Times New Roman" w:hAnsi="Times New Roman" w:cs="Times New Roman"/>
          <w:sz w:val="28"/>
          <w:szCs w:val="28"/>
        </w:rPr>
        <w:t xml:space="preserve">танавливать глухие решетки на окнах подвалов и приямках у окон подвалов, являющихся аварийными выходами, за исключением случаев, специально предусмотренных в нормативных правовых актах Российской Федерации и нормативных документах по пожарной безопасности.</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Снимать пре</w:t>
      </w:r>
      <w:r>
        <w:rPr>
          <w:rFonts w:ascii="Times New Roman" w:hAnsi="Times New Roman" w:cs="Times New Roman"/>
          <w:sz w:val="28"/>
          <w:szCs w:val="28"/>
        </w:rPr>
        <w:t xml:space="preserve">дусмотренные проектной документацией двери эвакуационных выходов из поэтажных коридоров, холлов, фойе, вестибюлей, тамбуров, тамбур-шлюзов и лестничных клеток, а также другие двери, препятствующие распространению опасных факторов пожара на путях эвакуации.</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изменени</w:t>
      </w:r>
      <w:r>
        <w:rPr>
          <w:rFonts w:ascii="Times New Roman" w:hAnsi="Times New Roman" w:cs="Times New Roman"/>
          <w:sz w:val="28"/>
          <w:szCs w:val="28"/>
        </w:rPr>
        <w:t xml:space="preserve">е объемно-планировочных решений и размещение инженерных коммуникаций, оборудования и других предметов, в результате которых ограничивается доступ к огнетушителям, пожарным кранам и другим средствам обеспечения пожарной безопасности и пожаротушения или умен</w:t>
      </w:r>
      <w:r>
        <w:rPr>
          <w:rFonts w:ascii="Times New Roman" w:hAnsi="Times New Roman" w:cs="Times New Roman"/>
          <w:sz w:val="28"/>
          <w:szCs w:val="28"/>
        </w:rPr>
        <w:t xml:space="preserve">ьшается зона действия систем противопожарной защиты (автоматической пожарной сигнализации, автоматических установок пожаротушения, противодымной защиты, системы оповещения и управления эвакуацией людей при пожаре, внутреннего противопожарного водопровода).</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Проводить уборку помещений и чистку одежды с применением бензина, керосина и других легково</w:t>
      </w:r>
      <w:r>
        <w:rPr>
          <w:rFonts w:ascii="Times New Roman" w:hAnsi="Times New Roman" w:cs="Times New Roman"/>
          <w:sz w:val="28"/>
          <w:szCs w:val="28"/>
        </w:rPr>
        <w:t xml:space="preserve">спламеняющихся и горючих жидкостей, а также производить отогревание замерзших коммуникаций, транспортирующих или содержащих в себе горючие вещества и материалы, с применением открытого огня (костры, газовые горелки, паяльные лампы, примусы, факелы, свечи).</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Устраивать в лестничных клетках кладовые и другие подсобные помещения, а также хранить под лестничными маршами и площадками вещи, мебель, оборудование и другие предметы, выполненные из горючих материалов.</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Устраивать в производственных и складских помещениях зданий (кроме зданий V степени огнестойкости) для организации рабочих </w:t>
      </w:r>
      <w:r>
        <w:rPr>
          <w:rFonts w:ascii="Times New Roman" w:hAnsi="Times New Roman" w:cs="Times New Roman"/>
          <w:sz w:val="28"/>
          <w:szCs w:val="28"/>
        </w:rPr>
        <w:t xml:space="preserve">мест антресоли, конторки и другие встроенные помещения с ограждающими конструкциями из горючих материалов (за исключением материалов группы горючести Г1).</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Размещать на лестничных клетках, в поэтажных коридорах, чердачных помещениях с деревянными несущими конструкциями, а также на открытых переходах наружных воздушных зон незадымляемых лестничных клеток внешние блоки кондиционеров.</w:t>
      </w:r>
      <w:r>
        <w:rPr>
          <w:rFonts w:ascii="Times New Roman" w:hAnsi="Times New Roman" w:cs="Times New Roman"/>
          <w:sz w:val="28"/>
          <w:szCs w:val="28"/>
        </w:rPr>
      </w:r>
    </w:p>
    <w:p>
      <w:pPr>
        <w:pStyle w:val="1194"/>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Эксплуатировать после изменения класса функциональной п</w:t>
      </w:r>
      <w:r>
        <w:rPr>
          <w:rFonts w:ascii="Times New Roman" w:hAnsi="Times New Roman" w:cs="Times New Roman"/>
          <w:sz w:val="28"/>
          <w:szCs w:val="28"/>
        </w:rPr>
        <w:t xml:space="preserve">ожарной опасности здания, сооружения, пожарные отсеки и части здания, а также помещения, не отвечающие требованиям нормативных документов по пожарной безопасности, установленным в соответствии с их новым классом функциональной пожарной опасности. Для здани</w:t>
      </w:r>
      <w:r>
        <w:rPr>
          <w:rFonts w:ascii="Times New Roman" w:hAnsi="Times New Roman" w:cs="Times New Roman"/>
          <w:sz w:val="28"/>
          <w:szCs w:val="28"/>
        </w:rPr>
        <w:t xml:space="preserve">й, сооружений и помещений, которые после изменения класса функциональной пожарной опасности отнесены к зданиям, сооружениям и помещениям производственного и складского назначения, необходимо провести расчет категорий по взрывопожарной и пожарной опасности.</w:t>
      </w:r>
      <w:r>
        <w:rPr>
          <w:rFonts w:ascii="Times New Roman" w:hAnsi="Times New Roman" w:cs="Times New Roman"/>
          <w:sz w:val="28"/>
          <w:szCs w:val="28"/>
        </w:rPr>
      </w:r>
    </w:p>
    <w:p>
      <w:pPr>
        <w:pStyle w:val="1194"/>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Проводить изменения, связанные с устройством систем противопожарной защиты, без разработки проектной документации, выполненной в соответствии с действующими на момент таких изменений нормативными документами по пожарной безопасности.</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Оставлять без присмотра включенными в электрическую сеть электронагре</w:t>
      </w:r>
      <w:r>
        <w:rPr>
          <w:rFonts w:ascii="Times New Roman" w:hAnsi="Times New Roman" w:cs="Times New Roman"/>
          <w:sz w:val="28"/>
          <w:szCs w:val="28"/>
        </w:rPr>
        <w:t xml:space="preserve">вательные приборы, а также другие бытовые электроприборы, в том числе находящиеся в режиме ожидания, за исключением электроприборов, которые могут или должны находиться в круглосуточном режиме работы в соответствии с технической документацией изготовителя.</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Пользоваться лифтами для эвакуации людей в случае возникновения пожара.</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Эксплуатировать электропровода и кабели с видимыми нарушениями изоляции и со следами термического воздействия.</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Пользоваться розетками, рубильниками,</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другими электроустановочными изделиями с повреждениями.</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Эксплуатировать светильники со снятыми колпаками (рассеивателями), предусмотренными конструкцией, а также обертывать электролампы и светильники (с лампами накаливания) бумагой, тканью и другими горючими материалами.</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Пользоваться электронагревательными приборами, не имеющими устройств тепловой защиты, а также при неисправности или отсутствии терморегуляторов, которые предусмотрены конструкцией этих приборов.</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Использовать нестандартные (самодельные)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Размещать (складировать) в электрощитовых, а также ближе </w:t>
      </w:r>
      <w:r>
        <w:rPr>
          <w:rFonts w:ascii="Times New Roman" w:hAnsi="Times New Roman" w:cs="Times New Roman"/>
          <w:sz w:val="28"/>
          <w:szCs w:val="28"/>
        </w:rPr>
        <w:t xml:space="preserve">1 метра от электрощитов, электродвигателей и пусковой аппаратуры горючие, легковоспламеняющиеся вещества и материалы.</w:t>
      </w:r>
      <w:r>
        <w:rPr>
          <w:rFonts w:ascii="Times New Roman" w:hAnsi="Times New Roman" w:cs="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проведении аварийн</w:t>
      </w:r>
      <w:r>
        <w:rPr>
          <w:rFonts w:ascii="Times New Roman" w:hAnsi="Times New Roman" w:cs="Times New Roman"/>
          <w:sz w:val="28"/>
          <w:szCs w:val="28"/>
        </w:rPr>
        <w:t xml:space="preserve">ых и других строительно-монтажных работ, а также при включении электроподогрева автотранспорта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r>
        <w:rPr>
          <w:rFonts w:ascii="Times New Roman" w:hAnsi="Times New Roman" w:cs="Times New Roman"/>
          <w:sz w:val="28"/>
          <w:szCs w:val="28"/>
        </w:rPr>
      </w:r>
    </w:p>
    <w:p>
      <w:pPr>
        <w:pStyle w:val="970"/>
        <w:numPr>
          <w:ilvl w:val="0"/>
          <w:numId w:val="58"/>
        </w:numPr>
        <w:ind w:left="0" w:firstLine="709"/>
        <w:jc w:val="both"/>
        <w:tabs>
          <w:tab w:val="left" w:pos="1701" w:leader="none"/>
        </w:tabs>
        <w:rPr>
          <w:rFonts w:ascii="Times New Roman" w:hAnsi="Times New Roman"/>
          <w:sz w:val="28"/>
          <w:szCs w:val="28"/>
        </w:rPr>
      </w:pPr>
      <w:r>
        <w:rPr>
          <w:rFonts w:ascii="Times New Roman" w:hAnsi="Times New Roman"/>
          <w:sz w:val="28"/>
          <w:szCs w:val="28"/>
        </w:rPr>
        <w:t xml:space="preserve">Применять для отделки путей эвакуации материалы с неизвестными показателями пожарной опасности и материалы с показателями пожарной опасности выше, чем установлены в НТД по пожарной безопасности.</w:t>
      </w:r>
      <w:r>
        <w:rPr>
          <w:rFonts w:ascii="Times New Roman" w:hAnsi="Times New Roman"/>
          <w:sz w:val="28"/>
          <w:szCs w:val="28"/>
        </w:rPr>
      </w:r>
    </w:p>
    <w:p>
      <w:pPr>
        <w:pStyle w:val="1142"/>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Прокладывать электрическую проводку без средств дополнительной защиты непосредственно по горючему основанию. Допускается прокладка на роликах, в трубах, коробах, изоляторах или с подложкой, выполненных из негорючих материалов.</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Чердачные помещения, а также технические этажи, помещения в которых по условиям технологии не предусмотре</w:t>
      </w:r>
      <w:r>
        <w:rPr>
          <w:rFonts w:ascii="Times New Roman" w:hAnsi="Times New Roman" w:cs="Times New Roman"/>
          <w:sz w:val="28"/>
          <w:szCs w:val="28"/>
        </w:rPr>
        <w:t xml:space="preserve">но постоянное пребывание людей должны быть постоянно закрыты на замок, а ключи храниться в определенном месте, в котором их можно получить в любое время суток. На дверях должна быть надпись о месте нахождения ключей и телефон лица, у которого они хранятся.</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Под маршами лестничных клеток первого, цокольного или подвального этажей не допускается размещать вспомогательные и хозяйственные помещения, за исключением узлов управления отоплением, водомерных узлов и электрических вводно-распределительных устройств.</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Приямки у оконных проемов подвальных и цокольных этажей зданий (сооружений) должны быть очищены от мусора и посторонних предметов. </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бытовых помещениях (раздевалках, душевых, санитарно-пропускных и т.п.) шкафы для спецодежды должны быть металлическими. </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Специальная одежда лиц, работающих с маслами, лаками, красками и другими легковоспламеняющимися и горючими жидкостями, должна храниться на вешалках в металлических шкафах, установленных в специально отведенных для этой цели местах.</w:t>
      </w:r>
      <w:r>
        <w:rPr>
          <w:sz w:val="28"/>
          <w:szCs w:val="28"/>
        </w:rPr>
      </w:r>
    </w:p>
    <w:p>
      <w:pPr>
        <w:pStyle w:val="1142"/>
        <w:numPr>
          <w:ilvl w:val="2"/>
          <w:numId w:val="28"/>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кладовых на производственных объектах руководителями структурных подразделений </w:t>
      </w:r>
      <w:r>
        <w:rPr>
          <w:rFonts w:ascii="Times New Roman" w:hAnsi="Times New Roman" w:cs="Times New Roman"/>
          <w:sz w:val="28"/>
          <w:szCs w:val="28"/>
        </w:rPr>
        <w:t xml:space="preserve">Филиала</w:t>
      </w:r>
      <w:r>
        <w:rPr>
          <w:rFonts w:ascii="Times New Roman" w:hAnsi="Times New Roman" w:cs="Times New Roman"/>
          <w:color w:val="000000"/>
          <w:sz w:val="28"/>
          <w:szCs w:val="28"/>
        </w:rPr>
        <w:t xml:space="preserve"> должны быть нормативно установлены перечни максимально допустимого количества единовременно хранимых ЛВЖ, ГЖ, красок, лаков, растворителей на основании уровня пожарной нагрузки согласно категории помещений по пожарной опасности и классу зоны.</w:t>
      </w:r>
      <w:r>
        <w:rPr>
          <w:rFonts w:ascii="Times New Roman" w:hAnsi="Times New Roman" w:cs="Times New Roman"/>
          <w:color w:val="000000"/>
          <w:sz w:val="28"/>
          <w:szCs w:val="28"/>
        </w:rPr>
      </w:r>
    </w:p>
    <w:p>
      <w:pPr>
        <w:pStyle w:val="1142"/>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с нормами хранения указанных материалов должна быть вывешена на внутренней стороне двери кладовых или специальных шкафов.</w:t>
      </w:r>
      <w:r>
        <w:rPr>
          <w:rFonts w:ascii="Times New Roman" w:hAnsi="Times New Roman" w:cs="Times New Roman"/>
          <w:color w:val="000000"/>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lang w:eastAsia="en-US"/>
        </w:rPr>
        <w:t xml:space="preserve">На рабочих местах допускается хранить запас смазочных, лакокрасочных материалов, ЛВЖ, ГЖ в емкостях из небьющейся тары и с </w:t>
      </w:r>
      <w:r>
        <w:rPr>
          <w:rFonts w:ascii="Times New Roman" w:hAnsi="Times New Roman" w:cs="Times New Roman"/>
          <w:sz w:val="28"/>
          <w:szCs w:val="28"/>
          <w:lang w:eastAsia="en-US"/>
        </w:rPr>
        <w:t xml:space="preserve">плотно закрывающимися крышками. Величина запаса устанавливается инструкцией о мерах пожарной безопасности соответствующего здания, сооружения где размещен участок, лаборатория и т.д., но не более сменной потребности</w:t>
      </w:r>
      <w:r>
        <w:rPr>
          <w:rFonts w:ascii="Times New Roman" w:hAnsi="Times New Roman" w:cs="Times New Roman"/>
          <w:lang w:eastAsia="en-US"/>
        </w:rPr>
        <w:t xml:space="preserve">.</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После окончания смены сгораемые отходы и обтирочные материалы необходимо убирать с рабочего места. Неиспользованные ЛВЖ и ГЖ, а также краски, лаки и растворители следует хранить в специальных металлических шкафах (ящиках).</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Использованные промасленные обтирочные материалы необходимо складывать в специальные металлические закрывающиеся ящики вместимостью не более 0,5 м</w:t>
      </w:r>
      <w:r>
        <w:rPr>
          <w:rFonts w:ascii="Times New Roman" w:hAnsi="Times New Roman" w:cs="Times New Roman"/>
          <w:sz w:val="28"/>
          <w:szCs w:val="28"/>
          <w:vertAlign w:val="superscript"/>
        </w:rPr>
        <w:t xml:space="preserve">3</w:t>
      </w:r>
      <w:r>
        <w:rPr>
          <w:rFonts w:ascii="Times New Roman" w:hAnsi="Times New Roman" w:cs="Times New Roman"/>
          <w:sz w:val="28"/>
          <w:szCs w:val="28"/>
        </w:rPr>
        <w:t xml:space="preserve"> с надписью «Для использованной ветоши» и регулярно удалять для утилизации.</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Устройства, обеспечивающие плотное закрывание дверей лестничных клеток, коридоров, тамбуров, вестибюлей и холлов (доводчики, уплотнение притворов и т.п.) постоянно должны находиться в исправном состоянии. Их ремонт должен проводиться в кратчайшие сроки.</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Запрещается демонтировать указанные двери без внесения соответствующих изменений в установленном законодательством Российской Федерации порядке в проектную документацию.</w:t>
      </w:r>
      <w:r>
        <w:rPr>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прокладке проводов, каб</w:t>
      </w:r>
      <w:r>
        <w:rPr>
          <w:rFonts w:ascii="Times New Roman" w:hAnsi="Times New Roman" w:cs="Times New Roman"/>
          <w:sz w:val="28"/>
          <w:szCs w:val="28"/>
        </w:rPr>
        <w:t xml:space="preserve">елей, трубопроводов и других инженерных и технологических коммуникаций через противопожарные преграды, образовавшиеся отверстия и зазоры должны быть заделаны негорючими материалами, обеспечивающими требуемый предел огнестойкости и дымогазонепроницаемость. </w:t>
      </w:r>
      <w:r>
        <w:rPr>
          <w:rFonts w:ascii="Times New Roman" w:hAnsi="Times New Roman" w:cs="Times New Roman"/>
          <w:sz w:val="28"/>
          <w:szCs w:val="28"/>
        </w:rPr>
      </w:r>
    </w:p>
    <w:p>
      <w:pPr>
        <w:pStyle w:val="1142"/>
        <w:numPr>
          <w:ilvl w:val="2"/>
          <w:numId w:val="28"/>
        </w:numPr>
        <w:ind w:left="0" w:firstLine="709"/>
        <w:jc w:val="both"/>
        <w:tabs>
          <w:tab w:val="left" w:pos="1134"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изменять сечение вентиляционных коробов и демонтировать их (без проектных решений), а также герметизировать решетки вентиляционных систем или противодымной защиты.</w:t>
      </w:r>
      <w:r>
        <w:rPr>
          <w:rFonts w:ascii="Times New Roman" w:hAnsi="Times New Roman" w:cs="Times New Roman"/>
          <w:sz w:val="28"/>
          <w:szCs w:val="28"/>
        </w:rPr>
      </w:r>
    </w:p>
    <w:p>
      <w:pPr>
        <w:pStyle w:val="1142"/>
        <w:numPr>
          <w:ilvl w:val="2"/>
          <w:numId w:val="28"/>
        </w:numPr>
        <w:ind w:left="0" w:firstLine="709"/>
        <w:jc w:val="both"/>
        <w:tabs>
          <w:tab w:val="left" w:pos="1134"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эксплуатации эвакуационных путей, эвакуационных и аварийных выходов запрещается:</w:t>
      </w:r>
      <w:r>
        <w:rPr>
          <w:rFonts w:ascii="Times New Roman" w:hAnsi="Times New Roman" w:cs="Times New Roman"/>
          <w:sz w:val="28"/>
          <w:szCs w:val="28"/>
        </w:rPr>
      </w:r>
    </w:p>
    <w:p>
      <w:pPr>
        <w:pStyle w:val="1142"/>
        <w:numPr>
          <w:ilvl w:val="1"/>
          <w:numId w:val="5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Устраивать пороги на путях эвакуации (за исключением порогов в дверных проемах), устанавливать раздвижные и подъемно-опус</w:t>
      </w:r>
      <w:r>
        <w:rPr>
          <w:rFonts w:ascii="Times New Roman" w:hAnsi="Times New Roman" w:cs="Times New Roman"/>
          <w:sz w:val="28"/>
          <w:szCs w:val="28"/>
        </w:rPr>
        <w:t xml:space="preserve">кные двери и ворота без возможности вручную открыть их изнутри и заблокировать в открытом состоянии, вращающиеся двери и турникеты, а также другие устройства, препятствующие свободной эвакуации людей, при отсутствии иных (дублирующих) путей эвакуации либо </w:t>
      </w:r>
      <w:r>
        <w:rPr>
          <w:rFonts w:ascii="Times New Roman" w:hAnsi="Times New Roman" w:cs="Times New Roman"/>
          <w:sz w:val="28"/>
          <w:szCs w:val="28"/>
        </w:rPr>
        <w:t xml:space="preserve">при отсутствии технических решений, позволяющих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блокирования устройств.</w:t>
      </w:r>
      <w:r>
        <w:rPr>
          <w:rFonts w:ascii="Times New Roman" w:hAnsi="Times New Roman" w:cs="Times New Roman"/>
          <w:sz w:val="28"/>
          <w:szCs w:val="28"/>
        </w:rPr>
      </w:r>
    </w:p>
    <w:p>
      <w:pPr>
        <w:pStyle w:val="1142"/>
        <w:numPr>
          <w:ilvl w:val="1"/>
          <w:numId w:val="5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Размещать мебель (за исключением сидячих мест для ожидания) и предметы (за исключением техно</w:t>
      </w:r>
      <w:r>
        <w:rPr>
          <w:rFonts w:ascii="Times New Roman" w:hAnsi="Times New Roman" w:cs="Times New Roman"/>
          <w:sz w:val="28"/>
          <w:szCs w:val="28"/>
        </w:rPr>
        <w:t xml:space="preserve">логического, выставочного и другого оборудования) на путях эвакуации, у дверей эвакуационных и аварийных выходов, в переходах между секциями, у выходов на крышу (покрытие), демонтировать лестницы в приямках, а также блокировать двери эвакуационных выходов.</w:t>
      </w:r>
      <w:r>
        <w:t xml:space="preserve"> </w:t>
      </w:r>
      <w:r>
        <w:rPr>
          <w:rFonts w:ascii="Times New Roman" w:hAnsi="Times New Roman" w:cs="Times New Roman"/>
          <w:sz w:val="28"/>
          <w:szCs w:val="28"/>
        </w:rPr>
        <w:t xml:space="preserve">При размещении в помещениях и на путях эвакуации </w:t>
      </w:r>
      <w:r>
        <w:rPr>
          <w:rFonts w:ascii="Times New Roman" w:hAnsi="Times New Roman" w:cs="Times New Roman"/>
          <w:sz w:val="28"/>
          <w:szCs w:val="28"/>
        </w:rPr>
        <w:t xml:space="preserve">(за исключением лестниц и лестничных клеток) технологического, выставочного и другого оборудования, а также сидячих мест для ожидания должны быть обеспечены геометрические параметры эвакуационных путей, установленные требованиями пожарной безопасности.</w:t>
      </w:r>
      <w:r>
        <w:rPr>
          <w:rFonts w:ascii="Times New Roman" w:hAnsi="Times New Roman" w:cs="Times New Roman"/>
          <w:sz w:val="28"/>
          <w:szCs w:val="28"/>
        </w:rPr>
      </w:r>
    </w:p>
    <w:p>
      <w:pPr>
        <w:pStyle w:val="1142"/>
        <w:numPr>
          <w:ilvl w:val="1"/>
          <w:numId w:val="5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Устраивать в тамбурах выходов из зданий сушилки и вешалки для одежды, гардеробы, а также хранить (в том числе временно) инвентарь и материалы.</w:t>
      </w:r>
      <w:r>
        <w:rPr>
          <w:rFonts w:ascii="Times New Roman" w:hAnsi="Times New Roman" w:cs="Times New Roman"/>
          <w:sz w:val="28"/>
          <w:szCs w:val="28"/>
        </w:rPr>
      </w:r>
    </w:p>
    <w:p>
      <w:pPr>
        <w:pStyle w:val="1142"/>
        <w:numPr>
          <w:ilvl w:val="1"/>
          <w:numId w:val="5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Фиксировать самозакрывающиеся двери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 а также снимать их.</w:t>
      </w:r>
      <w:r>
        <w:rPr>
          <w:rFonts w:ascii="Times New Roman" w:hAnsi="Times New Roman" w:cs="Times New Roman"/>
          <w:sz w:val="28"/>
          <w:szCs w:val="28"/>
        </w:rPr>
      </w:r>
    </w:p>
    <w:p>
      <w:pPr>
        <w:pStyle w:val="1142"/>
        <w:numPr>
          <w:ilvl w:val="1"/>
          <w:numId w:val="5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Изменять направление открывания дверей, за исключением дверей, открывание которых не нормируется или к которым предъявляются иные требования.</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Двери на путях эвакуации должны открываться свободно и по направлению выхода из здания, за исключением дверей, открывание которых не нормируется или к которым предъявляются иные требования в соответствии с нормативными правовыми актами. </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Запоры (замки) на дверях эвакуаци</w:t>
      </w:r>
      <w:r>
        <w:rPr>
          <w:rFonts w:ascii="Times New Roman" w:hAnsi="Times New Roman" w:cs="Times New Roman"/>
          <w:sz w:val="28"/>
          <w:szCs w:val="28"/>
        </w:rPr>
        <w:t xml:space="preserve">онных выходов из поэтажных коридоров, холлов, фойе, вестибюлей, лестничных клеток, зальных помещений должны обеспечивать возможность их свободного открывания изнутри без ключа, за исключением случаев, устанавливаемых законодательством Российской Федерации.</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 допускается устанавливать какие-либо приспособления, препятствующие нормальному закрыванию противопожарных или противодымных дверей (устройств).</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Эвакуационные пути и выходы, в том числе проходы, коридоры, тамбуры, галереи, лифтовые хол</w:t>
      </w:r>
      <w:r>
        <w:rPr>
          <w:rFonts w:ascii="Times New Roman" w:hAnsi="Times New Roman" w:cs="Times New Roman"/>
          <w:sz w:val="28"/>
          <w:szCs w:val="28"/>
        </w:rPr>
        <w:t xml:space="preserve">лы, лестничные площадки, марши лестниц, двери, эвакуационные люки, двери и люки на балконах и лоджиях, переходы в смежные секции, выходы на наружные эвакуационные лестницы, подходы к внутренним пожарным кранам, огнетушителям должны быть постоянно свободны.</w:t>
      </w:r>
      <w:r>
        <w:rPr>
          <w:rFonts w:ascii="Times New Roman" w:hAnsi="Times New Roman" w:cs="Times New Roman"/>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производить перепланировку помещений без разработки проектной документации в соответствии с </w:t>
      </w:r>
      <w:hyperlink r:id="rId36" w:tooltip="&quot;Градостроительный кодекс Российской Федерации (с изменениями на 26 декабря 2024 года) (редакция, действующая с 1 марта 2025 года)&quot;Кодекс РФ от 29.12.2004 N 190-ФЗСтатус: Действующая редакция документа (действ. c 01.03.2025)" w:history="1">
        <w:r>
          <w:rPr>
            <w:rStyle w:val="1111"/>
            <w:rFonts w:ascii="Times New Roman" w:hAnsi="Times New Roman"/>
            <w:color w:val="0000aa"/>
            <w:sz w:val="28"/>
            <w:szCs w:val="28"/>
          </w:rPr>
          <w:t xml:space="preserve">Градостроительным кодексом Российской Ф</w:t>
        </w:r>
      </w:hyperlink>
      <w:r>
        <w:rPr>
          <w:rStyle w:val="1111"/>
          <w:rFonts w:ascii="Times New Roman" w:hAnsi="Times New Roman"/>
          <w:color w:val="0000aa"/>
          <w:sz w:val="28"/>
          <w:szCs w:val="28"/>
        </w:rPr>
        <w:t xml:space="preserve">едерации</w:t>
      </w:r>
      <w:r>
        <w:rPr>
          <w:rFonts w:ascii="Times New Roman" w:hAnsi="Times New Roman" w:cs="Times New Roman"/>
          <w:sz w:val="28"/>
          <w:szCs w:val="28"/>
        </w:rPr>
        <w:t xml:space="preserve">, а при отступлении от требований нормативных документов по пожарной безопасности – без разработки специальных технических условий в установленном законодательством Российской Федерации порядке.</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Запрещается в указанных помещениях уменьшать число эвакуационных выходов, устанавливать на пути к ним дополнительные перегородки и двери и снижать огнестойкость строительных конструкций в нарушение требований действующих строительных норм и правил.</w:t>
      </w:r>
      <w:r>
        <w:rPr>
          <w:sz w:val="28"/>
          <w:szCs w:val="28"/>
        </w:rPr>
      </w:r>
    </w:p>
    <w:p>
      <w:pPr>
        <w:pStyle w:val="1142"/>
        <w:numPr>
          <w:ilvl w:val="2"/>
          <w:numId w:val="2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эвакуационных путях и выходах, в местах размещения аварийно-спасательных устройств и снаряжения, стоянки мобильных средств </w:t>
      </w:r>
      <w:r>
        <w:rPr>
          <w:rFonts w:ascii="Times New Roman" w:hAnsi="Times New Roman" w:cs="Times New Roman"/>
          <w:sz w:val="28"/>
          <w:szCs w:val="28"/>
        </w:rPr>
        <w:t xml:space="preserve">пожаротушения должны быть установлены знаки пожарной безопа</w:t>
      </w:r>
      <w:r>
        <w:rPr>
          <w:rFonts w:ascii="Times New Roman" w:hAnsi="Times New Roman" w:cs="Times New Roman"/>
          <w:sz w:val="28"/>
          <w:szCs w:val="28"/>
        </w:rPr>
        <w:t xml:space="preserve">сности в соответствии с действующими государственными стандартами. Запрещается закрывать и ухудшать видимость световых оповещателей, обозначающих эвакуационные выходы, и эвакуационных знаков пожарной безопасности, а также планов эвакуации людей при пожаре.</w:t>
      </w:r>
      <w:r>
        <w:rPr>
          <w:rFonts w:ascii="Times New Roman" w:hAnsi="Times New Roman" w:cs="Times New Roman"/>
          <w:sz w:val="28"/>
          <w:szCs w:val="28"/>
        </w:rPr>
      </w:r>
    </w:p>
    <w:p>
      <w:pPr>
        <w:pStyle w:val="1142"/>
        <w:numPr>
          <w:ilvl w:val="2"/>
          <w:numId w:val="28"/>
        </w:numPr>
        <w:ind w:left="0" w:firstLine="709"/>
        <w:jc w:val="both"/>
        <w:tabs>
          <w:tab w:val="left" w:pos="1560" w:leader="none"/>
          <w:tab w:val="left" w:pos="1701" w:leader="none"/>
        </w:tabs>
        <w:rPr>
          <w:rFonts w:ascii="Times New Roman" w:hAnsi="Times New Roman" w:cs="Times New Roman"/>
          <w:color w:val="000000"/>
          <w:sz w:val="28"/>
          <w:szCs w:val="28"/>
        </w:rPr>
      </w:pPr>
      <w:r>
        <w:rPr>
          <w:rFonts w:ascii="Times New Roman" w:hAnsi="Times New Roman" w:eastAsia="TimesNewRomanPSMT-Identity-H" w:cs="Times New Roman"/>
          <w:sz w:val="28"/>
          <w:szCs w:val="28"/>
        </w:rPr>
        <w:t xml:space="preserve">Работники Филиала, осуществляющие свою деятельность на объектах защиты с массовым пребыванием людей могут обеспечиваться самоспасателями фильтрующего или изолирующего действия и другими средствами спасения по решению руководителя </w:t>
      </w:r>
      <w:r>
        <w:rPr>
          <w:rFonts w:ascii="Times New Roman" w:hAnsi="Times New Roman" w:cs="Times New Roman"/>
          <w:sz w:val="28"/>
          <w:szCs w:val="28"/>
        </w:rPr>
        <w:t xml:space="preserve">Филиала</w:t>
      </w:r>
      <w:r>
        <w:rPr>
          <w:rFonts w:ascii="Times New Roman" w:hAnsi="Times New Roman" w:eastAsia="TimesNewRomanPSMT-Identity-H" w:cs="Times New Roman"/>
          <w:sz w:val="28"/>
          <w:szCs w:val="28"/>
        </w:rPr>
        <w:t xml:space="preserve">.</w:t>
      </w:r>
      <w:r>
        <w:rPr>
          <w:rFonts w:ascii="Times New Roman" w:hAnsi="Times New Roman" w:cs="Times New Roman"/>
          <w:color w:val="000000"/>
          <w:sz w:val="28"/>
          <w:szCs w:val="28"/>
        </w:rPr>
      </w:r>
    </w:p>
    <w:p>
      <w:pPr>
        <w:pStyle w:val="1142"/>
        <w:ind w:left="0" w:firstLine="709"/>
        <w:jc w:val="both"/>
        <w:tabs>
          <w:tab w:val="left" w:pos="1701" w:leader="none"/>
        </w:tabs>
        <w:rPr>
          <w:rFonts w:ascii="Times New Roman" w:hAnsi="Times New Roman" w:cs="Times New Roman"/>
          <w:color w:val="000000"/>
          <w:sz w:val="24"/>
          <w:szCs w:val="24"/>
        </w:rPr>
      </w:pPr>
      <w:r>
        <w:rPr>
          <w:rFonts w:ascii="Times New Roman" w:hAnsi="Times New Roman" w:cs="Times New Roman"/>
          <w:color w:val="000000"/>
          <w:sz w:val="24"/>
          <w:szCs w:val="24"/>
        </w:rPr>
      </w:r>
      <w:r>
        <w:rPr>
          <w:rFonts w:ascii="Times New Roman" w:hAnsi="Times New Roman" w:cs="Times New Roman"/>
          <w:color w:val="000000"/>
          <w:sz w:val="24"/>
          <w:szCs w:val="24"/>
        </w:rPr>
      </w:r>
    </w:p>
    <w:p>
      <w:pPr>
        <w:pStyle w:val="1180"/>
        <w:numPr>
          <w:ilvl w:val="1"/>
          <w:numId w:val="29"/>
        </w:numPr>
        <w:ind w:left="0" w:firstLine="709"/>
        <w:jc w:val="both"/>
        <w:spacing w:before="0" w:beforeAutospacing="0" w:after="0" w:afterAutospacing="0"/>
        <w:tabs>
          <w:tab w:val="left" w:pos="1276" w:leader="none"/>
        </w:tabs>
        <w:rPr>
          <w:b/>
          <w:sz w:val="28"/>
          <w:szCs w:val="28"/>
        </w:rPr>
        <w:outlineLvl w:val="1"/>
      </w:pPr>
      <w:r/>
      <w:bookmarkStart w:id="51" w:name="Силовые_тр_ры_реакторы_5_2"/>
      <w:r/>
      <w:bookmarkStart w:id="52" w:name="_Toc112328561"/>
      <w:r/>
      <w:bookmarkStart w:id="53" w:name="_Toc124499097"/>
      <w:r>
        <w:rPr>
          <w:b/>
          <w:sz w:val="28"/>
          <w:szCs w:val="28"/>
        </w:rPr>
        <w:t xml:space="preserve">Силовые (авто-) трансформаторы, масляные реакторы,</w:t>
      </w:r>
      <w:r>
        <w:rPr>
          <w:sz w:val="28"/>
          <w:szCs w:val="28"/>
        </w:rPr>
        <w:t xml:space="preserve"> </w:t>
      </w:r>
      <w:r>
        <w:rPr>
          <w:b/>
          <w:sz w:val="28"/>
          <w:szCs w:val="28"/>
        </w:rPr>
        <w:t xml:space="preserve">синхронные компенсаторы, маслонаполненное оборудование</w:t>
      </w:r>
      <w:bookmarkEnd w:id="51"/>
      <w:r/>
      <w:bookmarkEnd w:id="52"/>
      <w:r/>
      <w:bookmarkEnd w:id="53"/>
      <w:r/>
      <w:r>
        <w:rPr>
          <w:b/>
          <w:sz w:val="28"/>
          <w:szCs w:val="28"/>
        </w:rPr>
      </w:r>
    </w:p>
    <w:p>
      <w:pPr>
        <w:pStyle w:val="1180"/>
        <w:ind w:left="709"/>
        <w:jc w:val="both"/>
        <w:spacing w:before="0" w:beforeAutospacing="0" w:after="0" w:afterAutospacing="0"/>
        <w:tabs>
          <w:tab w:val="left" w:pos="1276" w:leader="none"/>
        </w:tabs>
        <w:rPr>
          <w:b/>
          <w:sz w:val="28"/>
          <w:szCs w:val="28"/>
        </w:rPr>
      </w:pPr>
      <w:r>
        <w:rPr>
          <w:b/>
          <w:sz w:val="28"/>
          <w:szCs w:val="28"/>
        </w:rPr>
      </w:r>
      <w:r>
        <w:rPr>
          <w:b/>
          <w:sz w:val="28"/>
          <w:szCs w:val="28"/>
        </w:rPr>
      </w:r>
    </w:p>
    <w:p>
      <w:pPr>
        <w:pStyle w:val="1168"/>
        <w:numPr>
          <w:ilvl w:val="2"/>
          <w:numId w:val="30"/>
        </w:numPr>
        <w:ind w:left="0" w:firstLine="709"/>
        <w:jc w:val="both"/>
        <w:spacing w:after="0" w:line="240" w:lineRule="auto"/>
        <w:tabs>
          <w:tab w:val="left" w:pos="1701" w:leader="none"/>
        </w:tabs>
        <w:rPr>
          <w:sz w:val="28"/>
          <w:szCs w:val="28"/>
        </w:rPr>
      </w:pPr>
      <w:r>
        <w:rPr>
          <w:sz w:val="28"/>
          <w:szCs w:val="28"/>
        </w:rPr>
        <w:t xml:space="preserve">Масл</w:t>
      </w:r>
      <w:r>
        <w:rPr>
          <w:sz w:val="28"/>
          <w:szCs w:val="28"/>
        </w:rPr>
        <w:t xml:space="preserve">оприемные устройства под трансформаторами и реакторами, маслоотводы (или специальные дренажи), а также маслосборники должны содержаться в исправном состоянии для исключения при аварии растекания масла и попадания его в кабельные каналы и другие сооружения.</w:t>
      </w:r>
      <w:r>
        <w:rPr>
          <w:bCs/>
          <w:sz w:val="28"/>
          <w:szCs w:val="28"/>
          <w:shd w:val="clear" w:color="auto" w:fill="ffffff"/>
        </w:rPr>
        <w:t xml:space="preserve"> </w:t>
      </w:r>
      <w:r>
        <w:rPr>
          <w:sz w:val="28"/>
          <w:szCs w:val="28"/>
        </w:rPr>
      </w:r>
    </w:p>
    <w:p>
      <w:pPr>
        <w:pStyle w:val="1168"/>
        <w:ind w:left="0" w:firstLine="709"/>
        <w:jc w:val="both"/>
        <w:spacing w:after="0" w:line="240" w:lineRule="auto"/>
        <w:tabs>
          <w:tab w:val="left" w:pos="1701" w:leader="none"/>
        </w:tabs>
        <w:rPr>
          <w:sz w:val="28"/>
          <w:szCs w:val="28"/>
        </w:rPr>
      </w:pPr>
      <w:r>
        <w:rPr>
          <w:bCs/>
          <w:sz w:val="28"/>
          <w:szCs w:val="28"/>
          <w:shd w:val="clear" w:color="auto" w:fill="ffffff"/>
        </w:rPr>
        <w:t xml:space="preserve">Маслосборники</w:t>
      </w:r>
      <w:r>
        <w:rPr>
          <w:sz w:val="28"/>
          <w:szCs w:val="28"/>
          <w:shd w:val="clear" w:color="auto" w:fill="ffffff"/>
        </w:rPr>
        <w:t xml:space="preserve"> </w:t>
      </w:r>
      <w:r>
        <w:rPr>
          <w:bCs/>
          <w:sz w:val="28"/>
          <w:szCs w:val="28"/>
          <w:shd w:val="clear" w:color="auto" w:fill="ffffff"/>
        </w:rPr>
        <w:t xml:space="preserve">должны</w:t>
      </w:r>
      <w:r>
        <w:rPr>
          <w:sz w:val="28"/>
          <w:szCs w:val="28"/>
          <w:shd w:val="clear" w:color="auto" w:fill="ffffff"/>
        </w:rPr>
        <w:t xml:space="preserve"> оборудоваться </w:t>
      </w:r>
      <w:r>
        <w:rPr>
          <w:bCs/>
          <w:sz w:val="28"/>
          <w:szCs w:val="28"/>
          <w:shd w:val="clear" w:color="auto" w:fill="ffffff"/>
        </w:rPr>
        <w:t xml:space="preserve">сигнализацией</w:t>
      </w:r>
      <w:r>
        <w:rPr>
          <w:sz w:val="28"/>
          <w:szCs w:val="28"/>
          <w:shd w:val="clear" w:color="auto" w:fill="ffffff"/>
        </w:rPr>
        <w:t xml:space="preserve"> о наличии воды с выводом сигнала на щит управления при реконструкции. В местах расположения маслосборников должны быть установлены указатели с обозначением их объема в кубических метрах. </w:t>
      </w:r>
      <w:r>
        <w:rPr>
          <w:sz w:val="28"/>
          <w:szCs w:val="28"/>
        </w:rPr>
      </w:r>
    </w:p>
    <w:p>
      <w:pPr>
        <w:pStyle w:val="1168"/>
        <w:ind w:left="0" w:firstLine="709"/>
        <w:jc w:val="both"/>
        <w:spacing w:after="0" w:line="240" w:lineRule="auto"/>
        <w:tabs>
          <w:tab w:val="left" w:pos="1701" w:leader="none"/>
        </w:tabs>
        <w:rPr>
          <w:sz w:val="28"/>
          <w:szCs w:val="28"/>
        </w:rPr>
      </w:pPr>
      <w:r>
        <w:rPr>
          <w:sz w:val="28"/>
          <w:szCs w:val="28"/>
        </w:rPr>
        <w:t xml:space="preserve">Откачку воды из маслосборников необходимо производить не менее 2 раз в год (после таяния снежного покрова и перед наступлением холодного периода), а также по мере необходимости после обильных дождей.</w:t>
      </w:r>
      <w:r>
        <w:rPr>
          <w:sz w:val="28"/>
          <w:szCs w:val="28"/>
          <w:shd w:val="clear" w:color="auto" w:fill="ffffff"/>
        </w:rPr>
        <w:t xml:space="preserve"> Результаты проверок маслосборников должны фиксироваться в специальном журнале, а при выявлении нарушений – в журнале дефектов оборудования ПС.</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В пределах бортовых ограждений маслоприемного устройства гравийная засыпка должна содержаться в чистом состоянии.</w:t>
      </w:r>
      <w:r>
        <w:rPr>
          <w:sz w:val="28"/>
          <w:szCs w:val="28"/>
        </w:rPr>
      </w:r>
    </w:p>
    <w:p>
      <w:pPr>
        <w:pStyle w:val="1250"/>
        <w:ind w:firstLine="709"/>
        <w:spacing w:after="0"/>
        <w:tabs>
          <w:tab w:val="left" w:pos="0" w:leader="none"/>
          <w:tab w:val="left" w:pos="1701" w:leader="none"/>
        </w:tabs>
        <w:rPr>
          <w:sz w:val="28"/>
          <w:szCs w:val="28"/>
        </w:rPr>
      </w:pPr>
      <w:r>
        <w:rPr>
          <w:sz w:val="28"/>
          <w:szCs w:val="28"/>
        </w:rPr>
        <w:t xml:space="preserve">При сильном загрязнении (заносами пыли, песка и т.п.) или замасливании гравия должна проводиться его промывка.</w:t>
      </w:r>
      <w:r>
        <w:rPr>
          <w:sz w:val="28"/>
          <w:szCs w:val="28"/>
        </w:rPr>
      </w:r>
    </w:p>
    <w:p>
      <w:pPr>
        <w:pStyle w:val="1250"/>
        <w:ind w:firstLine="709"/>
        <w:spacing w:after="0"/>
        <w:tabs>
          <w:tab w:val="left" w:pos="1701" w:leader="none"/>
        </w:tabs>
        <w:rPr>
          <w:sz w:val="28"/>
          <w:szCs w:val="28"/>
        </w:rPr>
      </w:pPr>
      <w:r>
        <w:rPr>
          <w:sz w:val="28"/>
          <w:szCs w:val="28"/>
        </w:rPr>
        <w:t xml:space="preserve">При образовании на гравийной засыпке сплошного поверхностного слоя пыли и песка, замасливании его боле</w:t>
      </w:r>
      <w:r>
        <w:rPr>
          <w:sz w:val="28"/>
          <w:szCs w:val="28"/>
        </w:rPr>
        <w:t xml:space="preserve">е чем на 50 процентов поверхности, а также при образовании на гравийной засыпке твердых отложений от нефтепродуктов толщиной более 3 миллиметров, появлении растительности выше 0,2 метра или невозможности его промывки и очистки осуществляется замена гравия.</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Одновременно с промывкой гравийной засыпки или опробованием стационарной установки пожаротушения (при ее наличии) на силовом трансформаторе или масляном реакторе должна проверяться работа маслоотводов и заполнение аварийной емкости.</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Бор</w:t>
      </w:r>
      <w:r>
        <w:rPr>
          <w:sz w:val="28"/>
          <w:szCs w:val="28"/>
        </w:rPr>
        <w:t xml:space="preserve">товые ограждения маслоприемных устройств должны выполняться по всему периметру гравийной засыпки без разрывов высотой не менее 150 мм над землей с внешней стороны. Допускается не производить засыпку дна маслоприемников по всей площади гравием. При этом на </w:t>
      </w:r>
      <w:r>
        <w:rPr>
          <w:sz w:val="28"/>
          <w:szCs w:val="28"/>
        </w:rPr>
        <w:t xml:space="preserve">системах отвода масла от трансформаторов (реакторов) следует предусматривать установку огнепреградителей или гидрозатворов.</w:t>
      </w:r>
      <w:r>
        <w:rPr>
          <w:sz w:val="28"/>
          <w:szCs w:val="28"/>
        </w:rPr>
      </w:r>
    </w:p>
    <w:p>
      <w:pPr>
        <w:pStyle w:val="1250"/>
        <w:ind w:firstLine="709"/>
        <w:spacing w:after="0"/>
        <w:tabs>
          <w:tab w:val="left" w:pos="1701" w:leader="none"/>
        </w:tabs>
        <w:rPr>
          <w:iCs/>
          <w:sz w:val="28"/>
          <w:szCs w:val="28"/>
        </w:rPr>
      </w:pPr>
      <w:r>
        <w:rPr>
          <w:sz w:val="28"/>
          <w:szCs w:val="28"/>
        </w:rPr>
        <w:t xml:space="preserve">В местах выкатки трансформаторов и масляных реакторов бортовое ограждение должно предотвращать растекание масла и выполняться из материала, легко убираемого при ремонтах с последующим восстановлением его </w:t>
      </w:r>
      <w:r>
        <w:rPr>
          <w:iCs/>
          <w:sz w:val="28"/>
          <w:szCs w:val="28"/>
        </w:rPr>
        <w:t xml:space="preserve">целостности.</w:t>
      </w:r>
      <w:r>
        <w:rPr>
          <w:iCs/>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Запрещается использовать (приспосабливать) стенки кабельных каналов в качестве бортового ограждения маслоприемников силовых трансформаторов, масляных выключателей и реакторов.</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Вводы кабельных линий в шкафы управления защиты и автоматики, а также в разветвительные (соединительные) коробки на трансформаторах, реакторах должны быть тщательно уплотнены водостойким материалом, не распространяющим горение.</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Стационарные установки пожаротушения, которыми оборудованы трансформаторы и масляные реакторы, должны содержаться в работоспособном состоянии и соответствовать проектной документации.</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Горловина выхлопной трубы силового трансформатора не должна быть направлена на рядом (ближе 30 м) установленное оборудование и сооружения, а также на пути прохода персонала. </w:t>
      </w:r>
      <w:r>
        <w:rPr>
          <w:iCs/>
          <w:sz w:val="28"/>
          <w:szCs w:val="28"/>
        </w:rPr>
        <w:t xml:space="preserve">В необходимых случаях должны устанавливаться отбойные щиты</w:t>
      </w:r>
      <w:r>
        <w:rPr>
          <w:sz w:val="28"/>
          <w:szCs w:val="28"/>
        </w:rPr>
        <w:t xml:space="preserve">.</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Материал и устройство мембраны на выхлопной трубе должны соответствовать техническим требованиям.</w:t>
      </w:r>
      <w:r>
        <w:rPr>
          <w:sz w:val="28"/>
          <w:szCs w:val="28"/>
        </w:rPr>
      </w:r>
    </w:p>
    <w:p>
      <w:pPr>
        <w:pStyle w:val="1250"/>
        <w:ind w:firstLine="142"/>
        <w:spacing w:after="0"/>
        <w:tabs>
          <w:tab w:val="left" w:pos="709" w:leader="none"/>
          <w:tab w:val="left" w:pos="1701" w:leader="none"/>
        </w:tabs>
        <w:rPr>
          <w:sz w:val="28"/>
          <w:szCs w:val="28"/>
        </w:rPr>
      </w:pPr>
      <w:r>
        <w:rPr>
          <w:sz w:val="28"/>
          <w:szCs w:val="28"/>
        </w:rPr>
        <w:tab/>
        <w:t xml:space="preserve">Запрещается их выполнение из материала, не предусмотренного заводом-изготовителем.</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При осмотре силового трансформатора должна быть обеспечена возможность контроля целости мембраны.</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При обнаружении свежих капель масла на маслонаполненном оборудовании или на поверхности под ним должны </w:t>
      </w:r>
      <w:r>
        <w:rPr>
          <w:iCs/>
          <w:sz w:val="28"/>
          <w:szCs w:val="28"/>
        </w:rPr>
        <w:t xml:space="preserve">быть приняты меры </w:t>
      </w:r>
      <w:r>
        <w:rPr>
          <w:sz w:val="28"/>
          <w:szCs w:val="28"/>
        </w:rPr>
        <w:t xml:space="preserve">по выявлению источников их появления и предотвращению новых поступлений (подтяжка фланцев, заварка трещин) с соблюдением мер безопасности на работающем маслонаполненном оборудовании.</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Запрещается при пожаре на силовом трансформаторе, масляном выключателе или реакторе сливать масло из бака.</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Запрещается включение в эксплуатацию оборудования на подстанциях, если не введены в эксплуатацию предусмотренные проектом установки противопожарной защиты и средства противопожарной защиты, и не обеспечена их полная готовность к работе.</w:t>
      </w:r>
      <w:r>
        <w:rPr>
          <w:sz w:val="28"/>
          <w:szCs w:val="28"/>
        </w:rPr>
      </w:r>
    </w:p>
    <w:p>
      <w:pPr>
        <w:pStyle w:val="1250"/>
        <w:numPr>
          <w:ilvl w:val="2"/>
          <w:numId w:val="30"/>
        </w:numPr>
        <w:ind w:left="0" w:firstLine="709"/>
        <w:spacing w:after="0"/>
        <w:tabs>
          <w:tab w:val="left" w:pos="1701" w:leader="none"/>
        </w:tabs>
        <w:rPr>
          <w:sz w:val="28"/>
          <w:szCs w:val="28"/>
        </w:rPr>
      </w:pPr>
      <w:r>
        <w:rPr>
          <w:sz w:val="28"/>
          <w:szCs w:val="28"/>
        </w:rPr>
        <w:t xml:space="preserve">Шкафы управления и другое оборудование, конструктивно не установленное на трансформаторе, должно быть вынесено за пределы маслоприемника.</w:t>
      </w:r>
      <w:r>
        <w:rPr>
          <w:sz w:val="28"/>
          <w:szCs w:val="28"/>
        </w:rPr>
      </w:r>
    </w:p>
    <w:p>
      <w:pPr>
        <w:pStyle w:val="1250"/>
        <w:ind w:firstLine="0"/>
        <w:spacing w:after="0"/>
        <w:tabs>
          <w:tab w:val="left" w:pos="1701" w:leader="none"/>
        </w:tabs>
      </w:pPr>
      <w:r/>
      <w:r/>
    </w:p>
    <w:p>
      <w:pPr>
        <w:pStyle w:val="1180"/>
        <w:numPr>
          <w:ilvl w:val="1"/>
          <w:numId w:val="94"/>
        </w:numPr>
        <w:ind w:left="0" w:firstLine="709"/>
        <w:jc w:val="both"/>
        <w:spacing w:before="0" w:beforeAutospacing="0" w:after="0" w:afterAutospacing="0"/>
        <w:tabs>
          <w:tab w:val="left" w:pos="1276" w:leader="none"/>
        </w:tabs>
        <w:rPr>
          <w:b/>
          <w:sz w:val="28"/>
          <w:szCs w:val="28"/>
        </w:rPr>
        <w:outlineLvl w:val="1"/>
      </w:pPr>
      <w:r/>
      <w:bookmarkStart w:id="54" w:name="Распределительные_устройства_5_3"/>
      <w:r/>
      <w:bookmarkStart w:id="55" w:name="_Toc112328562"/>
      <w:r/>
      <w:bookmarkStart w:id="56" w:name="_Toc124499098"/>
      <w:r>
        <w:rPr>
          <w:b/>
          <w:sz w:val="28"/>
          <w:szCs w:val="28"/>
        </w:rPr>
        <w:t xml:space="preserve">Распределительные устройства</w:t>
      </w:r>
      <w:bookmarkEnd w:id="54"/>
      <w:r/>
      <w:bookmarkEnd w:id="55"/>
      <w:r/>
      <w:bookmarkEnd w:id="56"/>
      <w:r/>
      <w:r>
        <w:rPr>
          <w:b/>
          <w:sz w:val="28"/>
          <w:szCs w:val="28"/>
        </w:rPr>
      </w:r>
    </w:p>
    <w:p>
      <w:pPr>
        <w:pStyle w:val="1180"/>
        <w:ind w:left="709"/>
        <w:jc w:val="both"/>
        <w:spacing w:before="0" w:beforeAutospacing="0" w:after="0" w:afterAutospacing="0"/>
        <w:tabs>
          <w:tab w:val="left" w:pos="1701" w:leader="none"/>
        </w:tabs>
        <w:rPr>
          <w:b/>
        </w:rPr>
      </w:pPr>
      <w:r>
        <w:rPr>
          <w:b/>
        </w:rPr>
      </w:r>
      <w:r>
        <w:rPr>
          <w:b/>
        </w:rPr>
      </w:r>
    </w:p>
    <w:p>
      <w:pPr>
        <w:pStyle w:val="1250"/>
        <w:numPr>
          <w:ilvl w:val="2"/>
          <w:numId w:val="95"/>
        </w:numPr>
        <w:ind w:left="0" w:firstLine="709"/>
        <w:spacing w:after="0"/>
        <w:tabs>
          <w:tab w:val="left" w:pos="1701" w:leader="none"/>
        </w:tabs>
        <w:rPr>
          <w:sz w:val="28"/>
          <w:szCs w:val="28"/>
        </w:rPr>
      </w:pPr>
      <w:r>
        <w:rPr>
          <w:sz w:val="28"/>
          <w:szCs w:val="28"/>
        </w:rPr>
        <w:t xml:space="preserve">Помещения ЗРУ должны содержаться в чистоте.</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Не реже 1 раза в год, а в необходимых случаях и чаще, должна проводиться уборка коридоров от пыли, о чем делается запись в оперативном журнале или специальном журнале.</w:t>
      </w:r>
      <w:r>
        <w:rPr>
          <w:sz w:val="28"/>
          <w:szCs w:val="28"/>
        </w:rPr>
      </w:r>
    </w:p>
    <w:p>
      <w:pPr>
        <w:pStyle w:val="1250"/>
        <w:ind w:firstLine="709"/>
        <w:spacing w:after="0"/>
        <w:tabs>
          <w:tab w:val="left" w:pos="1701" w:leader="none"/>
        </w:tabs>
        <w:rPr>
          <w:sz w:val="28"/>
          <w:szCs w:val="28"/>
        </w:rPr>
      </w:pPr>
      <w:r>
        <w:rPr>
          <w:sz w:val="28"/>
          <w:szCs w:val="28"/>
        </w:rPr>
        <w:t xml:space="preserve">Электротехническое оборудование ЗРУ необходимо чистить по утвержденному графику с обязательным выполнением организационных и технических мероприятий по действующим правилам безопасности.</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Запрещается в помещениях и коридорах ЗРУ у</w:t>
      </w:r>
      <w:r>
        <w:rPr>
          <w:sz w:val="28"/>
          <w:szCs w:val="28"/>
        </w:rPr>
        <w:t xml:space="preserve">страивать кладовые и другие подсобные сооружения, не относящиеся к распределительному устройству, а также хранить электротехническое оборудование, материалы, запасные части, емкости с горючими жидкостями и баллоны с различными газами (кроме огнетушителей).</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Для очистки электротехнического оборудования от грязи и отложений должны использоваться пожаробезопасные моющие составы и препараты.</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При использовании горючих жидкостей должна применяться только закрывающаяся тара из небьющегося материала.</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Сварочные и другие огневые работы в ЗРУ, допускается проводить только на оборудовании, которое невозможно вынести после выполнения необходимых противопожарных мероприятий.</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На территории ОРУ следует </w:t>
      </w:r>
      <w:r>
        <w:rPr>
          <w:iCs/>
          <w:sz w:val="28"/>
          <w:szCs w:val="28"/>
        </w:rPr>
        <w:t xml:space="preserve">своевременно (при достижении высоты 0,2 м и выше)</w:t>
      </w:r>
      <w:r>
        <w:rPr>
          <w:sz w:val="28"/>
          <w:szCs w:val="28"/>
        </w:rPr>
        <w:t xml:space="preserve"> скашивать и удалять траву. Запрещается выжигать сухую траву на территории ОРУ и прилегающих к ограждению подстанции площадках.</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На подстанциях с постоянным дежурным персоналом в ОПУ или ЗРУ должно быть определено необходимое </w:t>
      </w:r>
      <w:r>
        <w:rPr>
          <w:sz w:val="28"/>
          <w:szCs w:val="28"/>
        </w:rPr>
        <w:t xml:space="preserve">количество и место хранения защитных средств для пожарных подразделений при ликвидации пожара. Применение этих средств для других целей не допускается. Места хранения защитных средств для пожарных подразделений для ликвидации пожара должны быть обозначены.</w:t>
      </w:r>
      <w:r>
        <w:rPr>
          <w:sz w:val="28"/>
          <w:szCs w:val="28"/>
        </w:rPr>
      </w:r>
    </w:p>
    <w:p>
      <w:pPr>
        <w:pStyle w:val="1142"/>
        <w:numPr>
          <w:ilvl w:val="2"/>
          <w:numId w:val="95"/>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Необ</w:t>
      </w:r>
      <w:r>
        <w:rPr>
          <w:rFonts w:ascii="Times New Roman" w:hAnsi="Times New Roman" w:cs="Times New Roman"/>
          <w:sz w:val="28"/>
          <w:szCs w:val="28"/>
        </w:rPr>
        <w:t xml:space="preserve">ходимое количество защитных средств для пожарных подразделений определяется исходя из общего количества пожарных расчетов в составе ближайшей территориальной пожарной части, в зоне выезда которой находится подстанция, и указывается в текстовой части ОКДПП.</w:t>
      </w:r>
      <w:r>
        <w:rPr>
          <w:rFonts w:ascii="Times New Roman" w:hAnsi="Times New Roman" w:cs="Times New Roman"/>
          <w:sz w:val="28"/>
          <w:szCs w:val="28"/>
        </w:rPr>
      </w:r>
    </w:p>
    <w:p>
      <w:pPr>
        <w:pStyle w:val="1142"/>
        <w:numPr>
          <w:ilvl w:val="2"/>
          <w:numId w:val="95"/>
        </w:numPr>
        <w:ind w:left="0" w:firstLine="709"/>
        <w:jc w:val="both"/>
        <w:tabs>
          <w:tab w:val="left" w:pos="1701" w:leader="none"/>
        </w:tabs>
        <w:rPr>
          <w:rFonts w:ascii="Times New Roman" w:hAnsi="Times New Roman" w:cs="Times New Roman"/>
          <w:sz w:val="28"/>
          <w:szCs w:val="28"/>
        </w:rPr>
      </w:pPr>
      <w:r>
        <w:rPr>
          <w:rFonts w:ascii="Times New Roman" w:hAnsi="Times New Roman"/>
          <w:sz w:val="28"/>
          <w:szCs w:val="28"/>
        </w:rPr>
        <w:t xml:space="preserve">Подстанции без обслуживающего персон</w:t>
      </w:r>
      <w:r>
        <w:rPr>
          <w:rFonts w:ascii="Times New Roman" w:hAnsi="Times New Roman"/>
          <w:sz w:val="28"/>
          <w:szCs w:val="28"/>
        </w:rPr>
        <w:t xml:space="preserve">ала защитными средствами для пожарных подразделений не обеспечиваются. В случае обслуживания подстанций оперативно-выездными бригадами необходимое количество защитных средств для пожарных подразделений должно храниться в автомобилях ОВБ в отдельном ящике. </w:t>
      </w:r>
      <w:r>
        <w:rPr>
          <w:rFonts w:ascii="Times New Roman" w:hAnsi="Times New Roman" w:cs="Times New Roman"/>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На территории подстанций в местах установки пожарной техники должны быть оборудованы и обозначены места заземления, в соответствии с утвержденным планом пожаротушения или оперативной карточкой действий персонала при пожаре.</w:t>
      </w:r>
      <w:r>
        <w:rPr>
          <w:sz w:val="28"/>
          <w:szCs w:val="28"/>
        </w:rPr>
      </w:r>
    </w:p>
    <w:p>
      <w:pPr>
        <w:pStyle w:val="1250"/>
        <w:numPr>
          <w:ilvl w:val="2"/>
          <w:numId w:val="95"/>
        </w:numPr>
        <w:ind w:left="0" w:firstLine="709"/>
        <w:spacing w:after="0"/>
        <w:tabs>
          <w:tab w:val="left" w:pos="1701" w:leader="none"/>
        </w:tabs>
        <w:rPr>
          <w:sz w:val="28"/>
          <w:szCs w:val="28"/>
        </w:rPr>
      </w:pPr>
      <w:r>
        <w:rPr>
          <w:iCs/>
          <w:sz w:val="28"/>
          <w:szCs w:val="28"/>
        </w:rPr>
        <w:t xml:space="preserve">Места установки и заземления передвижной пожарной техники определяются при проектировании или реконструкции объекта, а в период эксплуатации, при отсутствии проекта, определяются руководителем </w:t>
      </w:r>
      <w:r>
        <w:rPr>
          <w:iCs/>
          <w:sz w:val="28"/>
          <w:szCs w:val="28"/>
        </w:rPr>
        <w:t xml:space="preserve">структурного подразделения, ответственного за эксплуатацию объекта защиты (начальник службы (группы) подстанций, начальник подстанции).</w:t>
      </w:r>
      <w:r>
        <w:rPr>
          <w:sz w:val="28"/>
          <w:szCs w:val="28"/>
        </w:rPr>
      </w:r>
    </w:p>
    <w:p>
      <w:pPr>
        <w:pStyle w:val="1250"/>
        <w:numPr>
          <w:ilvl w:val="2"/>
          <w:numId w:val="95"/>
        </w:numPr>
        <w:ind w:left="0" w:firstLine="709"/>
        <w:spacing w:after="0"/>
        <w:tabs>
          <w:tab w:val="left" w:pos="1701" w:leader="none"/>
        </w:tabs>
        <w:rPr>
          <w:sz w:val="28"/>
          <w:szCs w:val="28"/>
        </w:rPr>
      </w:pPr>
      <w:r>
        <w:rPr>
          <w:sz w:val="28"/>
          <w:szCs w:val="28"/>
          <w:lang w:eastAsia="en-US"/>
        </w:rPr>
        <w:t xml:space="preserve">В местах установки передвижной пожарной техники на ОРУ ПС должны быть обозначены и оборудованы места заземления (вывешен знак «Заземление» разм</w:t>
      </w:r>
      <w:r>
        <w:rPr>
          <w:sz w:val="28"/>
          <w:szCs w:val="28"/>
          <w:lang w:eastAsia="en-US"/>
        </w:rPr>
        <w:t xml:space="preserve">ером 20х20 см или нанесен специальный знак (допускается пропорционально изменять размеры знаков заземления с учетом места нанесения) на строительной конструкции, место присоединения переносного заземления должно периодически очищаться от краски, ржавчины).</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В каждом Филиале должен быть составлен и утвержден техническим руководителем перечень ПС, не имеющих сплошного бетонного ограждения и расположенных в зонах возможного возникновения лесных (низовых и торфяных) пожаров.</w:t>
      </w:r>
      <w:r>
        <w:rPr>
          <w:sz w:val="28"/>
          <w:szCs w:val="28"/>
        </w:rPr>
      </w:r>
    </w:p>
    <w:p>
      <w:pPr>
        <w:pStyle w:val="1250"/>
        <w:numPr>
          <w:ilvl w:val="2"/>
          <w:numId w:val="95"/>
        </w:numPr>
        <w:ind w:left="0" w:firstLine="709"/>
        <w:spacing w:after="0"/>
        <w:tabs>
          <w:tab w:val="left" w:pos="1701" w:leader="none"/>
        </w:tabs>
        <w:rPr>
          <w:sz w:val="28"/>
          <w:szCs w:val="28"/>
        </w:rPr>
      </w:pPr>
      <w:r>
        <w:rPr>
          <w:sz w:val="28"/>
          <w:szCs w:val="28"/>
          <w:lang w:eastAsia="en-US"/>
        </w:rPr>
        <w:t xml:space="preserve">Для ПС, указанных в пункте 6.3.14, должна выполняться опашка (в случае невозможности опашки - расчистка от</w:t>
      </w:r>
      <w:r>
        <w:rPr>
          <w:sz w:val="28"/>
          <w:szCs w:val="28"/>
          <w:lang w:eastAsia="en-US"/>
        </w:rPr>
        <w:t xml:space="preserve">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по наружному периметру ПС 35-110 кВ – шириной не менее 2 м, для ПС 150 кВ и выше – не менее 5 м.</w:t>
      </w:r>
      <w:r>
        <w:rPr>
          <w:sz w:val="28"/>
          <w:szCs w:val="28"/>
        </w:rPr>
      </w:r>
    </w:p>
    <w:p>
      <w:pPr>
        <w:pStyle w:val="1250"/>
        <w:numPr>
          <w:ilvl w:val="2"/>
          <w:numId w:val="95"/>
        </w:numPr>
        <w:ind w:left="0" w:firstLine="709"/>
        <w:spacing w:after="0"/>
        <w:tabs>
          <w:tab w:val="left" w:pos="1701" w:leader="none"/>
        </w:tabs>
        <w:rPr>
          <w:sz w:val="28"/>
          <w:szCs w:val="28"/>
        </w:rPr>
      </w:pPr>
      <w:r>
        <w:rPr>
          <w:sz w:val="28"/>
          <w:szCs w:val="28"/>
        </w:rPr>
        <w:t xml:space="preserve">Организация работ по планированию мероприятий по опашке периметров ПС, а также контроль за выполнением данного вида работ, возлагается на персонал структурных подразделений, ответственных за эксплуатацию и ремонт оборудования ПС.</w:t>
      </w:r>
      <w:r>
        <w:rPr>
          <w:sz w:val="28"/>
          <w:szCs w:val="28"/>
        </w:rPr>
      </w:r>
    </w:p>
    <w:p>
      <w:pPr>
        <w:pStyle w:val="1250"/>
        <w:ind w:left="709" w:firstLine="0"/>
        <w:spacing w:after="0"/>
        <w:tabs>
          <w:tab w:val="left" w:pos="1701" w:leader="none"/>
        </w:tabs>
        <w:rPr>
          <w:sz w:val="28"/>
          <w:szCs w:val="28"/>
        </w:rPr>
      </w:pPr>
      <w:r>
        <w:rPr>
          <w:sz w:val="28"/>
          <w:szCs w:val="28"/>
        </w:rPr>
      </w:r>
      <w:r>
        <w:rPr>
          <w:sz w:val="28"/>
          <w:szCs w:val="28"/>
        </w:rPr>
      </w:r>
    </w:p>
    <w:p>
      <w:pPr>
        <w:pStyle w:val="1250"/>
        <w:numPr>
          <w:ilvl w:val="1"/>
          <w:numId w:val="95"/>
        </w:numPr>
        <w:ind w:left="0" w:firstLine="709"/>
        <w:spacing w:after="0"/>
        <w:tabs>
          <w:tab w:val="left" w:pos="1418" w:leader="none"/>
        </w:tabs>
        <w:rPr>
          <w:b/>
          <w:sz w:val="28"/>
          <w:szCs w:val="28"/>
        </w:rPr>
        <w:outlineLvl w:val="1"/>
      </w:pPr>
      <w:r/>
      <w:bookmarkStart w:id="57" w:name="_Toc112328563"/>
      <w:r/>
      <w:bookmarkStart w:id="58" w:name="_Toc124499099"/>
      <w:r/>
      <w:bookmarkStart w:id="59" w:name="Кабельное_хозяйство_5_4"/>
      <w:r>
        <w:rPr>
          <w:b/>
          <w:sz w:val="28"/>
          <w:szCs w:val="28"/>
        </w:rPr>
        <w:t xml:space="preserve">Кабельное хозяйство</w:t>
      </w:r>
      <w:bookmarkEnd w:id="57"/>
      <w:r/>
      <w:bookmarkEnd w:id="58"/>
      <w:r/>
      <w:bookmarkEnd w:id="59"/>
      <w:r>
        <w:rPr>
          <w:b/>
          <w:sz w:val="28"/>
          <w:szCs w:val="28"/>
        </w:rPr>
      </w:r>
    </w:p>
    <w:p>
      <w:pPr>
        <w:pStyle w:val="1250"/>
        <w:ind w:left="709" w:firstLine="0"/>
        <w:spacing w:after="0"/>
        <w:tabs>
          <w:tab w:val="left" w:pos="1701" w:leader="none"/>
        </w:tabs>
        <w:rPr>
          <w:b/>
        </w:rPr>
      </w:pPr>
      <w:r>
        <w:rPr>
          <w:b/>
        </w:rPr>
      </w:r>
      <w:r>
        <w:rPr>
          <w:b/>
        </w:rPr>
      </w:r>
    </w:p>
    <w:p>
      <w:pPr>
        <w:pStyle w:val="1250"/>
        <w:numPr>
          <w:ilvl w:val="2"/>
          <w:numId w:val="96"/>
        </w:numPr>
        <w:ind w:left="0" w:firstLine="709"/>
        <w:spacing w:after="0"/>
        <w:tabs>
          <w:tab w:val="left" w:pos="1701" w:leader="none"/>
        </w:tabs>
        <w:rPr>
          <w:sz w:val="28"/>
          <w:szCs w:val="28"/>
        </w:rPr>
      </w:pPr>
      <w:r>
        <w:rPr>
          <w:sz w:val="28"/>
          <w:szCs w:val="28"/>
        </w:rPr>
        <w:t xml:space="preserve">К кабельному хозяйству энергообъекта относятся все кабельные сооружения, а также кабельные линии, закрытые в специальные металлические короба или открыто проложенные по специальным кабельным конструкциям.</w:t>
      </w:r>
      <w:r>
        <w:rPr>
          <w:sz w:val="28"/>
          <w:szCs w:val="28"/>
        </w:rPr>
      </w:r>
    </w:p>
    <w:p>
      <w:pPr>
        <w:pStyle w:val="1250"/>
        <w:numPr>
          <w:ilvl w:val="2"/>
          <w:numId w:val="96"/>
        </w:numPr>
        <w:ind w:left="0" w:firstLine="709"/>
        <w:spacing w:after="0"/>
        <w:tabs>
          <w:tab w:val="left" w:pos="1701" w:leader="none"/>
        </w:tabs>
        <w:rPr>
          <w:sz w:val="28"/>
          <w:szCs w:val="28"/>
        </w:rPr>
      </w:pPr>
      <w:r>
        <w:rPr>
          <w:sz w:val="28"/>
          <w:szCs w:val="28"/>
        </w:rPr>
        <w:t xml:space="preserve">Все кабельные сооружения должны регулярно осматриваться по графику, утвержденному техническим руководителем Филиала.</w:t>
      </w:r>
      <w:r>
        <w:rPr>
          <w:sz w:val="28"/>
          <w:szCs w:val="28"/>
        </w:rPr>
      </w:r>
    </w:p>
    <w:p>
      <w:pPr>
        <w:pStyle w:val="1250"/>
        <w:ind w:firstLine="709"/>
        <w:spacing w:after="0"/>
        <w:tabs>
          <w:tab w:val="left" w:pos="1418" w:leader="none"/>
          <w:tab w:val="left" w:pos="1701" w:leader="none"/>
        </w:tabs>
        <w:rPr>
          <w:sz w:val="28"/>
          <w:szCs w:val="28"/>
        </w:rPr>
      </w:pPr>
      <w:r>
        <w:rPr>
          <w:sz w:val="28"/>
          <w:szCs w:val="28"/>
        </w:rPr>
        <w:t xml:space="preserve">В случае обнаружения в ходе осмотров состояния КЛ отсутствия или повреждений огнестойких уплотнений в местах пересечения кабельными линиями противопожарных преград (огнестойких строительных конструкций) д</w:t>
      </w:r>
      <w:r>
        <w:rPr>
          <w:sz w:val="28"/>
          <w:szCs w:val="28"/>
        </w:rPr>
        <w:t xml:space="preserve">олжны приниматься незамедлительные меры к восстановлению огнестойких уплотнений и (или) заделке образовавшихся в противопожарных преградах отверстий и зазоров негорючими материалами, обеспечивающими требуемый предел огнестойкости и дымогазонепроницаемость.</w:t>
      </w:r>
      <w:r>
        <w:rPr>
          <w:sz w:val="28"/>
          <w:szCs w:val="28"/>
        </w:rPr>
      </w:r>
    </w:p>
    <w:p>
      <w:pPr>
        <w:pStyle w:val="1250"/>
        <w:numPr>
          <w:ilvl w:val="0"/>
          <w:numId w:val="97"/>
        </w:numPr>
        <w:ind w:left="0" w:firstLine="709"/>
        <w:spacing w:after="0"/>
        <w:tabs>
          <w:tab w:val="left" w:pos="1701" w:leader="none"/>
        </w:tabs>
        <w:rPr>
          <w:sz w:val="28"/>
          <w:szCs w:val="28"/>
        </w:rPr>
      </w:pPr>
      <w:r>
        <w:rPr>
          <w:sz w:val="28"/>
          <w:szCs w:val="28"/>
        </w:rPr>
        <w:t xml:space="preserve">Кабельные сооружения должны содержаться в чистоте.</w:t>
      </w:r>
      <w:r>
        <w:rPr>
          <w:sz w:val="28"/>
          <w:szCs w:val="28"/>
        </w:rPr>
      </w:r>
    </w:p>
    <w:p>
      <w:pPr>
        <w:pStyle w:val="1250"/>
        <w:numPr>
          <w:ilvl w:val="0"/>
          <w:numId w:val="97"/>
        </w:numPr>
        <w:ind w:left="0" w:firstLine="709"/>
        <w:spacing w:after="0"/>
        <w:tabs>
          <w:tab w:val="left" w:pos="1701" w:leader="none"/>
        </w:tabs>
        <w:rPr>
          <w:sz w:val="28"/>
          <w:szCs w:val="28"/>
        </w:rPr>
      </w:pPr>
      <w:r>
        <w:rPr>
          <w:sz w:val="28"/>
          <w:szCs w:val="28"/>
        </w:rPr>
        <w:t xml:space="preserve">Запрещается устройство в них каких-либо кладовых, мастерских, а также хранение материалов и оборудования, в том числе неиспользованных кабельных изделий. </w:t>
      </w:r>
      <w:r>
        <w:rPr>
          <w:sz w:val="28"/>
          <w:szCs w:val="28"/>
        </w:rPr>
      </w:r>
    </w:p>
    <w:p>
      <w:pPr>
        <w:pStyle w:val="1250"/>
        <w:numPr>
          <w:ilvl w:val="0"/>
          <w:numId w:val="97"/>
        </w:numPr>
        <w:ind w:left="0" w:firstLine="709"/>
        <w:spacing w:after="0"/>
        <w:tabs>
          <w:tab w:val="left" w:pos="1701" w:leader="none"/>
        </w:tabs>
        <w:rPr>
          <w:sz w:val="28"/>
          <w:szCs w:val="28"/>
        </w:rPr>
      </w:pPr>
      <w:r>
        <w:rPr>
          <w:sz w:val="28"/>
          <w:szCs w:val="28"/>
        </w:rPr>
        <w:t xml:space="preserve">При обнаружении попадания в кабельные сооружения воды, масла или других горючих жидкостей (а также их водных эмульсий) немедленно должны приниматься меры по предотвращению их поступления.</w:t>
      </w:r>
      <w:r>
        <w:rPr>
          <w:sz w:val="28"/>
          <w:szCs w:val="28"/>
        </w:rPr>
      </w:r>
    </w:p>
    <w:p>
      <w:pPr>
        <w:pStyle w:val="1250"/>
        <w:numPr>
          <w:ilvl w:val="0"/>
          <w:numId w:val="97"/>
        </w:numPr>
        <w:ind w:left="0" w:firstLine="709"/>
        <w:spacing w:after="0"/>
        <w:tabs>
          <w:tab w:val="left" w:pos="1701" w:leader="none"/>
        </w:tabs>
        <w:rPr>
          <w:sz w:val="28"/>
          <w:szCs w:val="28"/>
        </w:rPr>
      </w:pPr>
      <w:r>
        <w:rPr>
          <w:sz w:val="28"/>
          <w:szCs w:val="28"/>
        </w:rPr>
        <w:t xml:space="preserve">Для удаления из кабельных сооружений воды, масла, других горючих жидкостей должны быть организованы аварийно-восстановительные работы.</w:t>
      </w:r>
      <w:r>
        <w:rPr>
          <w:sz w:val="28"/>
          <w:szCs w:val="28"/>
        </w:rPr>
      </w:r>
    </w:p>
    <w:p>
      <w:pPr>
        <w:pStyle w:val="1250"/>
        <w:numPr>
          <w:ilvl w:val="0"/>
          <w:numId w:val="97"/>
        </w:numPr>
        <w:ind w:left="0" w:firstLine="709"/>
        <w:spacing w:after="0"/>
        <w:tabs>
          <w:tab w:val="left" w:pos="1701" w:leader="none"/>
        </w:tabs>
        <w:rPr>
          <w:sz w:val="28"/>
          <w:szCs w:val="28"/>
        </w:rPr>
      </w:pPr>
      <w:r>
        <w:rPr>
          <w:sz w:val="28"/>
          <w:szCs w:val="28"/>
        </w:rPr>
        <w:t xml:space="preserve">Все кабельные помещения относятся к помещениям, не обслуживаемым постоянно персоналом, поэтому они должны быть закрыты.</w:t>
      </w:r>
      <w:r>
        <w:rPr>
          <w:sz w:val="28"/>
          <w:szCs w:val="28"/>
        </w:rPr>
      </w:r>
    </w:p>
    <w:p>
      <w:pPr>
        <w:pStyle w:val="1250"/>
        <w:numPr>
          <w:ilvl w:val="0"/>
          <w:numId w:val="97"/>
        </w:numPr>
        <w:ind w:left="0" w:firstLine="709"/>
        <w:spacing w:after="0"/>
        <w:tabs>
          <w:tab w:val="left" w:pos="1701" w:leader="none"/>
        </w:tabs>
        <w:rPr>
          <w:sz w:val="28"/>
          <w:szCs w:val="28"/>
        </w:rPr>
      </w:pPr>
      <w:r>
        <w:rPr>
          <w:sz w:val="28"/>
          <w:szCs w:val="28"/>
        </w:rPr>
        <w:t xml:space="preserve">Запрещается допуск лиц для обслуживания кабельных сооружений или работы в них без согласования с начальником подстанции или лица, ответственного за кабельное хозяйство энергообъекта.</w:t>
      </w:r>
      <w:r>
        <w:rPr>
          <w:sz w:val="28"/>
          <w:szCs w:val="28"/>
        </w:rPr>
      </w:r>
    </w:p>
    <w:p>
      <w:pPr>
        <w:pStyle w:val="1250"/>
        <w:ind w:firstLine="709"/>
        <w:spacing w:after="0"/>
        <w:tabs>
          <w:tab w:val="left" w:pos="1418" w:leader="none"/>
          <w:tab w:val="left" w:pos="1701" w:leader="none"/>
        </w:tabs>
        <w:rPr>
          <w:sz w:val="28"/>
          <w:szCs w:val="28"/>
        </w:rPr>
      </w:pPr>
      <w:r>
        <w:rPr>
          <w:sz w:val="28"/>
          <w:szCs w:val="28"/>
        </w:rPr>
        <w:t xml:space="preserve">Лица, допущенные для работы или обследования кабельных сооружений, должны иметь электрические фонари из расчета один фонарь на группу (бригаду) не более 5 человек. </w:t>
      </w:r>
      <w:r>
        <w:rPr>
          <w:sz w:val="28"/>
          <w:szCs w:val="28"/>
        </w:rPr>
      </w:r>
    </w:p>
    <w:p>
      <w:pPr>
        <w:pStyle w:val="1250"/>
        <w:numPr>
          <w:ilvl w:val="2"/>
          <w:numId w:val="98"/>
        </w:numPr>
        <w:ind w:left="0" w:firstLine="709"/>
        <w:spacing w:after="0"/>
        <w:tabs>
          <w:tab w:val="left" w:pos="1701" w:leader="none"/>
        </w:tabs>
        <w:rPr>
          <w:sz w:val="28"/>
          <w:szCs w:val="28"/>
        </w:rPr>
      </w:pPr>
      <w:r>
        <w:rPr>
          <w:sz w:val="28"/>
          <w:szCs w:val="28"/>
        </w:rPr>
        <w:t xml:space="preserve">В кабельных сооружениях не реже, чем через 60 м должны быть установлены указатели ближайшего выхода.</w:t>
      </w:r>
      <w:r>
        <w:rPr>
          <w:sz w:val="28"/>
          <w:szCs w:val="28"/>
        </w:rPr>
      </w:r>
    </w:p>
    <w:p>
      <w:pPr>
        <w:pStyle w:val="1250"/>
        <w:numPr>
          <w:ilvl w:val="2"/>
          <w:numId w:val="98"/>
        </w:numPr>
        <w:ind w:left="0" w:firstLine="709"/>
        <w:spacing w:after="0"/>
        <w:tabs>
          <w:tab w:val="left" w:pos="1701" w:leader="none"/>
        </w:tabs>
        <w:rPr>
          <w:sz w:val="28"/>
          <w:szCs w:val="28"/>
        </w:rPr>
      </w:pPr>
      <w:r>
        <w:rPr>
          <w:sz w:val="28"/>
          <w:szCs w:val="28"/>
        </w:rPr>
        <w:t xml:space="preserve">На дверях секционных перегородок должны быть нанесены указатели (схема) движения до ближайшего выхода. У выходных люков из кабельных сооружений должны быть установлены лестницы так, чтобы они не мешали проходу по тоннелю (этажу).</w:t>
      </w:r>
      <w:r>
        <w:rPr>
          <w:sz w:val="28"/>
          <w:szCs w:val="28"/>
        </w:rPr>
      </w:r>
    </w:p>
    <w:p>
      <w:pPr>
        <w:pStyle w:val="1250"/>
        <w:numPr>
          <w:ilvl w:val="2"/>
          <w:numId w:val="98"/>
        </w:numPr>
        <w:ind w:left="0" w:firstLine="709"/>
        <w:spacing w:after="0"/>
        <w:tabs>
          <w:tab w:val="left" w:pos="1701" w:leader="none"/>
        </w:tabs>
        <w:rPr>
          <w:sz w:val="28"/>
          <w:szCs w:val="28"/>
        </w:rPr>
      </w:pPr>
      <w:r>
        <w:rPr>
          <w:sz w:val="28"/>
          <w:szCs w:val="28"/>
        </w:rPr>
        <w:t xml:space="preserve">На период нахождения в кабел</w:t>
      </w:r>
      <w:r>
        <w:rPr>
          <w:sz w:val="28"/>
          <w:szCs w:val="28"/>
        </w:rPr>
        <w:t xml:space="preserve">ьных сооружениях персонала (при обходе, ремонтных работах и т.п.) запуск автоматических установок пожаротушения по конкретному направлению должен переводиться на дистанционное управление, а после выхода персонала вновь переводиться на автоматический режим.</w:t>
      </w:r>
      <w:r>
        <w:rPr>
          <w:sz w:val="28"/>
          <w:szCs w:val="28"/>
        </w:rPr>
      </w:r>
    </w:p>
    <w:p>
      <w:pPr>
        <w:pStyle w:val="1250"/>
        <w:ind w:firstLine="709"/>
        <w:spacing w:after="0"/>
        <w:tabs>
          <w:tab w:val="left" w:pos="1418" w:leader="none"/>
          <w:tab w:val="left" w:pos="1701" w:leader="none"/>
        </w:tabs>
        <w:rPr>
          <w:sz w:val="28"/>
          <w:szCs w:val="28"/>
        </w:rPr>
      </w:pPr>
      <w:r>
        <w:rPr>
          <w:sz w:val="28"/>
          <w:szCs w:val="28"/>
        </w:rPr>
        <w:t xml:space="preserve">Об изменениях режима работы установки пожаротушения на этот период делается запись в оперативном журнале.</w:t>
      </w:r>
      <w:r>
        <w:rPr>
          <w:sz w:val="28"/>
          <w:szCs w:val="28"/>
        </w:rPr>
      </w:r>
    </w:p>
    <w:p>
      <w:pPr>
        <w:pStyle w:val="1250"/>
        <w:numPr>
          <w:ilvl w:val="2"/>
          <w:numId w:val="99"/>
        </w:numPr>
        <w:ind w:left="0" w:firstLine="709"/>
        <w:spacing w:after="0"/>
        <w:tabs>
          <w:tab w:val="left" w:pos="1701" w:leader="none"/>
        </w:tabs>
        <w:rPr>
          <w:sz w:val="28"/>
          <w:szCs w:val="28"/>
        </w:rPr>
      </w:pPr>
      <w:r>
        <w:rPr>
          <w:sz w:val="28"/>
          <w:szCs w:val="28"/>
        </w:rPr>
        <w:t xml:space="preserve">При эксплуатации кабельных сооружений огнезащитные кабельные покрытия и кабельные проходки не должны иметь видимых повреждений (отслоения, вздутия, сколы, растрескивания и др.). При обнаружении таких мест принимаются меры по их ремонту и восстановлению.</w:t>
      </w:r>
      <w:r>
        <w:rPr>
          <w:sz w:val="28"/>
          <w:szCs w:val="28"/>
        </w:rPr>
      </w:r>
    </w:p>
    <w:p>
      <w:pPr>
        <w:pStyle w:val="1250"/>
        <w:numPr>
          <w:ilvl w:val="2"/>
          <w:numId w:val="99"/>
        </w:numPr>
        <w:ind w:left="0" w:firstLine="709"/>
        <w:spacing w:after="0"/>
        <w:tabs>
          <w:tab w:val="left" w:pos="1701" w:leader="none"/>
        </w:tabs>
        <w:rPr>
          <w:sz w:val="28"/>
          <w:szCs w:val="28"/>
        </w:rPr>
      </w:pPr>
      <w:r>
        <w:rPr>
          <w:sz w:val="28"/>
          <w:szCs w:val="28"/>
        </w:rPr>
        <w:t xml:space="preserve">Противопожарные двери секционных перегородок кабельных сооружений должны быть самозакрывающимися, открываться в сторону ближайшего выхода, иметь плотный притвор и находиться в фиксированном закрытом положении.</w:t>
      </w:r>
      <w:r>
        <w:rPr>
          <w:sz w:val="28"/>
          <w:szCs w:val="28"/>
        </w:rPr>
      </w:r>
    </w:p>
    <w:p>
      <w:pPr>
        <w:pStyle w:val="1250"/>
        <w:ind w:firstLine="709"/>
        <w:spacing w:after="0"/>
        <w:tabs>
          <w:tab w:val="left" w:pos="1701" w:leader="none"/>
        </w:tabs>
        <w:rPr>
          <w:sz w:val="28"/>
          <w:szCs w:val="28"/>
        </w:rPr>
      </w:pPr>
      <w:r>
        <w:rPr>
          <w:sz w:val="28"/>
          <w:szCs w:val="28"/>
        </w:rPr>
        <w:t xml:space="preserve">Допускается по условиям вентиляции кабельных помещений держать двери в открытом положении, при этом они должны автоматически закрываться от импульса пожарной сигнализации в соответствующем отсеке сооружения.</w:t>
      </w:r>
      <w:r>
        <w:rPr>
          <w:sz w:val="28"/>
          <w:szCs w:val="28"/>
        </w:rPr>
      </w:r>
    </w:p>
    <w:p>
      <w:pPr>
        <w:pStyle w:val="1250"/>
        <w:numPr>
          <w:ilvl w:val="2"/>
          <w:numId w:val="100"/>
        </w:numPr>
        <w:ind w:left="0" w:firstLine="709"/>
        <w:spacing w:after="0"/>
        <w:tabs>
          <w:tab w:val="left" w:pos="1701" w:leader="none"/>
        </w:tabs>
        <w:rPr>
          <w:sz w:val="28"/>
          <w:szCs w:val="28"/>
        </w:rPr>
      </w:pPr>
      <w:r>
        <w:rPr>
          <w:sz w:val="28"/>
          <w:szCs w:val="28"/>
        </w:rPr>
        <w:t xml:space="preserve">Устройства самозакрывания дверей должны поддерживаться в технически исправном состоянии.</w:t>
      </w:r>
      <w:r>
        <w:rPr>
          <w:sz w:val="28"/>
          <w:szCs w:val="28"/>
        </w:rPr>
      </w:r>
    </w:p>
    <w:p>
      <w:pPr>
        <w:pStyle w:val="1250"/>
        <w:numPr>
          <w:ilvl w:val="2"/>
          <w:numId w:val="100"/>
        </w:numPr>
        <w:ind w:left="0" w:firstLine="709"/>
        <w:spacing w:after="0"/>
        <w:tabs>
          <w:tab w:val="left" w:pos="1701" w:leader="none"/>
        </w:tabs>
        <w:rPr>
          <w:sz w:val="28"/>
          <w:szCs w:val="28"/>
        </w:rPr>
      </w:pPr>
      <w:r>
        <w:rPr>
          <w:sz w:val="28"/>
          <w:szCs w:val="28"/>
        </w:rPr>
        <w:t xml:space="preserve">Все места прохода проводов и кабелей через противопожарные преграды (огнестойкие строительные конструкции: стены, перегородки и перекрытия) должны быть заделаны огнестойким материалом с пределом огнестойкости не ниже самой конструкции.</w:t>
      </w:r>
      <w:r>
        <w:rPr>
          <w:sz w:val="28"/>
          <w:szCs w:val="28"/>
        </w:rPr>
      </w:r>
    </w:p>
    <w:p>
      <w:pPr>
        <w:pStyle w:val="1250"/>
        <w:numPr>
          <w:ilvl w:val="2"/>
          <w:numId w:val="100"/>
        </w:numPr>
        <w:ind w:left="0" w:firstLine="709"/>
        <w:spacing w:after="0"/>
        <w:tabs>
          <w:tab w:val="left" w:pos="1701" w:leader="none"/>
        </w:tabs>
        <w:rPr>
          <w:sz w:val="28"/>
          <w:szCs w:val="28"/>
        </w:rPr>
      </w:pPr>
      <w:r>
        <w:rPr>
          <w:iCs/>
          <w:sz w:val="28"/>
          <w:szCs w:val="28"/>
        </w:rPr>
        <w:t xml:space="preserve">Выявленные в ходе эксплуатации (осмотров по графику) повреждения вышеуказанных заделок должны быть устранены в кратчайшие сроки. </w:t>
      </w:r>
      <w:r>
        <w:rPr>
          <w:sz w:val="28"/>
          <w:szCs w:val="28"/>
        </w:rPr>
      </w:r>
    </w:p>
    <w:p>
      <w:pPr>
        <w:pStyle w:val="1250"/>
        <w:numPr>
          <w:ilvl w:val="2"/>
          <w:numId w:val="100"/>
        </w:numPr>
        <w:ind w:left="0" w:firstLine="709"/>
        <w:spacing w:after="0"/>
        <w:tabs>
          <w:tab w:val="left" w:pos="1701" w:leader="none"/>
        </w:tabs>
        <w:rPr>
          <w:sz w:val="28"/>
          <w:szCs w:val="28"/>
        </w:rPr>
      </w:pPr>
      <w:r>
        <w:rPr>
          <w:sz w:val="28"/>
          <w:szCs w:val="28"/>
        </w:rPr>
        <w:t xml:space="preserve">При </w:t>
      </w:r>
      <w:r>
        <w:rPr>
          <w:sz w:val="28"/>
          <w:szCs w:val="28"/>
        </w:rPr>
        <w:t xml:space="preserve">замене или прокладке новых кабелей восстановление огнестойкости мест их прохода через противопожарные преграды (огнестойкие строительные конструкции) должно проводиться непосредственно после укладки нового кабеля и до закрытия наряда на выполняемые работы.</w:t>
      </w:r>
      <w:r>
        <w:rPr>
          <w:sz w:val="28"/>
          <w:szCs w:val="28"/>
        </w:rPr>
      </w:r>
    </w:p>
    <w:p>
      <w:pPr>
        <w:pStyle w:val="1250"/>
        <w:numPr>
          <w:ilvl w:val="2"/>
          <w:numId w:val="100"/>
        </w:numPr>
        <w:ind w:left="0" w:firstLine="709"/>
        <w:spacing w:after="0"/>
        <w:tabs>
          <w:tab w:val="left" w:pos="993" w:leader="none"/>
          <w:tab w:val="left" w:pos="1701" w:leader="none"/>
        </w:tabs>
        <w:rPr>
          <w:sz w:val="28"/>
          <w:szCs w:val="28"/>
        </w:rPr>
      </w:pPr>
      <w:r>
        <w:rPr>
          <w:sz w:val="28"/>
          <w:szCs w:val="28"/>
        </w:rPr>
        <w:t xml:space="preserve">В металлических коробах типа КП, ККБ и др. кабельные линии должны разделяться перегородками и уплотняться материалом с огнестойкостью не менее </w:t>
      </w:r>
      <w:r>
        <w:rPr>
          <w:sz w:val="28"/>
          <w:szCs w:val="28"/>
          <w:lang w:val="en-US"/>
        </w:rPr>
        <w:t xml:space="preserve">EI</w:t>
      </w:r>
      <w:r>
        <w:rPr>
          <w:sz w:val="28"/>
          <w:szCs w:val="28"/>
        </w:rPr>
        <w:t xml:space="preserve"> 45 в следующих местах:</w:t>
      </w:r>
      <w:r>
        <w:rPr>
          <w:sz w:val="28"/>
          <w:szCs w:val="28"/>
        </w:rPr>
      </w:r>
    </w:p>
    <w:p>
      <w:pPr>
        <w:pStyle w:val="1250"/>
        <w:numPr>
          <w:ilvl w:val="1"/>
          <w:numId w:val="61"/>
        </w:numPr>
        <w:ind w:left="0" w:firstLine="709"/>
        <w:spacing w:after="0"/>
        <w:tabs>
          <w:tab w:val="left" w:pos="1701" w:leader="none"/>
        </w:tabs>
        <w:rPr>
          <w:sz w:val="28"/>
          <w:szCs w:val="28"/>
        </w:rPr>
      </w:pPr>
      <w:r>
        <w:rPr>
          <w:sz w:val="28"/>
          <w:szCs w:val="28"/>
        </w:rPr>
        <w:t xml:space="preserve">При входе в другие кабельные сооружения.</w:t>
      </w:r>
      <w:r>
        <w:rPr>
          <w:sz w:val="28"/>
          <w:szCs w:val="28"/>
        </w:rPr>
      </w:r>
    </w:p>
    <w:p>
      <w:pPr>
        <w:pStyle w:val="1250"/>
        <w:numPr>
          <w:ilvl w:val="1"/>
          <w:numId w:val="61"/>
        </w:numPr>
        <w:ind w:left="0" w:firstLine="709"/>
        <w:spacing w:after="0"/>
        <w:tabs>
          <w:tab w:val="left" w:pos="1701" w:leader="none"/>
        </w:tabs>
        <w:rPr>
          <w:sz w:val="28"/>
          <w:szCs w:val="28"/>
        </w:rPr>
      </w:pPr>
      <w:r>
        <w:rPr>
          <w:sz w:val="28"/>
          <w:szCs w:val="28"/>
        </w:rPr>
        <w:t xml:space="preserve">На горизонтальных участках кабельных коробов через каждые 30 м, а также при ответвлениях в другие короба основных потоков кабелей.</w:t>
      </w:r>
      <w:r>
        <w:rPr>
          <w:sz w:val="28"/>
          <w:szCs w:val="28"/>
        </w:rPr>
      </w:r>
    </w:p>
    <w:p>
      <w:pPr>
        <w:pStyle w:val="1250"/>
        <w:numPr>
          <w:ilvl w:val="1"/>
          <w:numId w:val="61"/>
        </w:numPr>
        <w:ind w:left="0" w:firstLine="709"/>
        <w:spacing w:after="0"/>
        <w:tabs>
          <w:tab w:val="left" w:pos="1701" w:leader="none"/>
        </w:tabs>
        <w:rPr>
          <w:sz w:val="28"/>
          <w:szCs w:val="28"/>
        </w:rPr>
      </w:pPr>
      <w:r>
        <w:rPr>
          <w:sz w:val="28"/>
          <w:szCs w:val="28"/>
        </w:rPr>
        <w:t xml:space="preserve">На вертикальных участках кабельных коробов через каждые 20 м.</w:t>
      </w:r>
      <w:r>
        <w:rPr>
          <w:sz w:val="28"/>
          <w:szCs w:val="28"/>
        </w:rPr>
      </w:r>
    </w:p>
    <w:p>
      <w:pPr>
        <w:pStyle w:val="1250"/>
        <w:numPr>
          <w:ilvl w:val="1"/>
          <w:numId w:val="61"/>
        </w:numPr>
        <w:ind w:left="0" w:firstLine="709"/>
        <w:spacing w:after="0"/>
        <w:tabs>
          <w:tab w:val="left" w:pos="1701" w:leader="none"/>
        </w:tabs>
        <w:rPr>
          <w:sz w:val="28"/>
          <w:szCs w:val="28"/>
        </w:rPr>
      </w:pPr>
      <w:r>
        <w:rPr>
          <w:sz w:val="28"/>
          <w:szCs w:val="28"/>
        </w:rPr>
        <w:t xml:space="preserve">При прохождении через перекрытия такие огнестойкие уплотнения дополнительно должны выполняться на каждой отметке перекрытия.</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Места уплотнения кабельных линий, проложенных в металлических коробах, должны быть обозначены красными полосами на наружных стенках коробов. В необходимых случаях делаются поясняющие надписи.</w:t>
      </w:r>
      <w:r>
        <w:rPr>
          <w:sz w:val="28"/>
          <w:szCs w:val="28"/>
        </w:rPr>
      </w:r>
    </w:p>
    <w:p>
      <w:pPr>
        <w:pStyle w:val="1250"/>
        <w:numPr>
          <w:ilvl w:val="0"/>
          <w:numId w:val="101"/>
        </w:numPr>
        <w:ind w:left="0" w:firstLine="709"/>
        <w:spacing w:after="0"/>
        <w:tabs>
          <w:tab w:val="left" w:pos="0" w:leader="none"/>
          <w:tab w:val="left" w:pos="1701" w:leader="none"/>
        </w:tabs>
        <w:rPr>
          <w:b/>
          <w:sz w:val="28"/>
          <w:szCs w:val="28"/>
        </w:rPr>
      </w:pPr>
      <w:r>
        <w:rPr>
          <w:sz w:val="28"/>
          <w:szCs w:val="28"/>
        </w:rPr>
        <w:t xml:space="preserve">Быстросъемные крышки с кабельных коробов типа ККБ и КП, расположенных в зданиях и сооружениях энергопредприятий, должны быть постоянно сняты. Их демонтаж необходимо проводить в плановом порядке при проведении плановых рем</w:t>
      </w:r>
      <w:r>
        <w:rPr>
          <w:sz w:val="28"/>
          <w:szCs w:val="28"/>
        </w:rPr>
        <w:t xml:space="preserve">онтных работ.  Допускается оставлять быстросъемные крышки только в местах возможных механических повреждений кабелей. Короба типа ККБ и КП, расположенные вне зданий энергопредприятий, должны оборудоваться устройствами для быстрого снятия крышек без ключей.</w:t>
      </w:r>
      <w:r>
        <w:rPr>
          <w:b/>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Металлические оболочки кабелей и металлические поверхности, по которым они прокладываются, должны быть защищены негорючими антикоррозийными покрытиями.</w:t>
      </w:r>
      <w:r>
        <w:rPr>
          <w:sz w:val="28"/>
          <w:szCs w:val="28"/>
        </w:rPr>
      </w:r>
    </w:p>
    <w:p>
      <w:pPr>
        <w:pStyle w:val="1250"/>
        <w:numPr>
          <w:ilvl w:val="0"/>
          <w:numId w:val="101"/>
        </w:numPr>
        <w:ind w:left="0" w:firstLine="709"/>
        <w:spacing w:after="0"/>
        <w:tabs>
          <w:tab w:val="left" w:pos="1701" w:leader="none"/>
        </w:tabs>
        <w:rPr>
          <w:sz w:val="28"/>
          <w:szCs w:val="28"/>
        </w:rPr>
      </w:pPr>
      <w:r>
        <w:rPr>
          <w:sz w:val="28"/>
          <w:szCs w:val="28"/>
        </w:rPr>
        <w:t xml:space="preserve">Запрещается в помещениях подпитывающих устройств маслонаполненных кабелей хранить горючие материалы, не относящиеся к данной установке.</w:t>
      </w:r>
      <w:r>
        <w:rPr>
          <w:sz w:val="28"/>
          <w:szCs w:val="28"/>
        </w:rPr>
      </w:r>
    </w:p>
    <w:p>
      <w:pPr>
        <w:pStyle w:val="1250"/>
        <w:numPr>
          <w:ilvl w:val="0"/>
          <w:numId w:val="101"/>
        </w:numPr>
        <w:ind w:left="0" w:firstLine="709"/>
        <w:spacing w:after="0"/>
        <w:tabs>
          <w:tab w:val="left" w:pos="1701" w:leader="none"/>
        </w:tabs>
        <w:rPr>
          <w:sz w:val="28"/>
          <w:szCs w:val="28"/>
        </w:rPr>
      </w:pPr>
      <w:r>
        <w:rPr>
          <w:sz w:val="28"/>
          <w:szCs w:val="28"/>
        </w:rPr>
        <w:t xml:space="preserve">Кабельные каналы и двойные полы в распределительных устройствах и других помещениях должны перекрываться съемными плитами из негорючих материалов.</w:t>
      </w:r>
      <w:r>
        <w:rPr>
          <w:sz w:val="28"/>
          <w:szCs w:val="28"/>
        </w:rPr>
      </w:r>
    </w:p>
    <w:p>
      <w:pPr>
        <w:pStyle w:val="1250"/>
        <w:ind w:firstLine="709"/>
        <w:spacing w:after="0"/>
        <w:tabs>
          <w:tab w:val="left" w:pos="1701" w:leader="none"/>
        </w:tabs>
        <w:rPr>
          <w:sz w:val="28"/>
          <w:szCs w:val="28"/>
        </w:rPr>
      </w:pPr>
      <w:r>
        <w:rPr>
          <w:sz w:val="28"/>
          <w:szCs w:val="28"/>
        </w:rPr>
        <w:t xml:space="preserve">Съемные негорючие плиты и цельные щиты должны иметь приспособления для быстрого их подъема вручную.</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Запрещается при реконструкции и ремонте прокладка через кабельные сооружения каких-либо транзитных коммуникаций и шинопроводов, а также применение металлических лотков со сплошным дном и коробов </w:t>
      </w:r>
      <w:r>
        <w:rPr>
          <w:rFonts w:eastAsia="Calibri"/>
          <w:sz w:val="28"/>
          <w:szCs w:val="28"/>
          <w:lang w:eastAsia="en-US"/>
        </w:rPr>
        <w:t xml:space="preserve">в кабельных этажах, туннелях, шахтах, галереях, </w:t>
      </w:r>
      <w:r>
        <w:rPr>
          <w:rFonts w:eastAsia="Calibri"/>
          <w:spacing w:val="-2"/>
          <w:sz w:val="28"/>
          <w:szCs w:val="28"/>
          <w:lang w:eastAsia="en-US"/>
        </w:rPr>
        <w:t xml:space="preserve">в электротехнических и других производственных помещениях.</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Запрещается прокладка бронированных кабелей внутри помещений без снятия горючего джутового покрова.</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Запрещается эксплуатация кабельных сооружений после прокладки дополнительных кабельных линий без восстановления требуемых нормируемых пределов огнестойкости проходок в местах прохождения кабеля через строительные конструкции.</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Прокладку с</w:t>
      </w:r>
      <w:r>
        <w:rPr>
          <w:sz w:val="28"/>
          <w:szCs w:val="28"/>
        </w:rPr>
        <w:t xml:space="preserve">иловых кабелей по конструкциям, в каналах и лотках следует предусматривать однорядно, а контрольных кабелей послойно или пучками максимальным размером в диаметре не более 100 мм или в отдельных ячейках специальных кабельных конструкций размером 100х100 мм.</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Кабельные каналы ЗРУ и кабельные лотки ОРУ должны быть постоянно закрыты негорючими плитами. </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Кабельные лотки ОРУ должны иметь огнестойкое уплотнение в местах прохода кабелей из кабельных сооружений в эти лотки, а также в местах разветвления на территории ОР</w:t>
      </w:r>
      <w:r>
        <w:rPr>
          <w:sz w:val="28"/>
          <w:szCs w:val="28"/>
        </w:rPr>
        <w:t xml:space="preserve">У. Несгораемые уплотнения (пояса) должны выполняться в кабельных каналах в местах их прохода из одного помещения в другое с огнестойкостью и толщиной проходимой стены, а также в местах разветвления в местах разветвления канала и через каждые 50 м по длине.</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Места уплотнения (поясов) кабельных лотков и каналов должны быть обозначены нанесением на плиты красных полос. При необходимости делаются поясняющие надписи.</w:t>
      </w:r>
      <w:r>
        <w:rPr>
          <w:sz w:val="28"/>
          <w:szCs w:val="28"/>
        </w:rPr>
      </w:r>
    </w:p>
    <w:p>
      <w:pPr>
        <w:pStyle w:val="1250"/>
        <w:numPr>
          <w:ilvl w:val="0"/>
          <w:numId w:val="101"/>
        </w:numPr>
        <w:ind w:left="0" w:firstLine="709"/>
        <w:spacing w:after="0"/>
        <w:tabs>
          <w:tab w:val="left" w:pos="0" w:leader="none"/>
          <w:tab w:val="left" w:pos="1701" w:leader="none"/>
        </w:tabs>
        <w:rPr>
          <w:sz w:val="28"/>
          <w:szCs w:val="28"/>
        </w:rPr>
      </w:pPr>
      <w:r>
        <w:rPr>
          <w:sz w:val="28"/>
          <w:szCs w:val="28"/>
        </w:rPr>
        <w:t xml:space="preserve">В кабельных лотках и каналах ОРУ допускается применять пояса из песка или другого негорючего материала длиной не менее 0,3 м.</w:t>
      </w:r>
      <w:r>
        <w:rPr>
          <w:sz w:val="28"/>
          <w:szCs w:val="28"/>
        </w:rPr>
      </w:r>
    </w:p>
    <w:p>
      <w:pPr>
        <w:pStyle w:val="1180"/>
        <w:ind w:left="709"/>
        <w:jc w:val="both"/>
        <w:spacing w:before="0" w:beforeAutospacing="0" w:after="0" w:afterAutospacing="0"/>
        <w:tabs>
          <w:tab w:val="left" w:pos="709" w:leader="none"/>
        </w:tabs>
        <w:rPr>
          <w:sz w:val="28"/>
          <w:szCs w:val="28"/>
        </w:rPr>
      </w:pPr>
      <w:r>
        <w:rPr>
          <w:sz w:val="28"/>
          <w:szCs w:val="28"/>
        </w:rPr>
      </w:r>
      <w:r>
        <w:rPr>
          <w:sz w:val="28"/>
          <w:szCs w:val="28"/>
        </w:rPr>
      </w:r>
    </w:p>
    <w:p>
      <w:pPr>
        <w:pStyle w:val="1180"/>
        <w:numPr>
          <w:ilvl w:val="1"/>
          <w:numId w:val="95"/>
        </w:numPr>
        <w:ind w:left="0" w:firstLine="709"/>
        <w:jc w:val="both"/>
        <w:spacing w:before="0" w:beforeAutospacing="0" w:after="0" w:afterAutospacing="0"/>
        <w:tabs>
          <w:tab w:val="left" w:pos="0" w:leader="none"/>
          <w:tab w:val="left" w:pos="1418" w:leader="none"/>
        </w:tabs>
        <w:rPr>
          <w:b/>
          <w:sz w:val="28"/>
          <w:szCs w:val="28"/>
        </w:rPr>
        <w:outlineLvl w:val="1"/>
      </w:pPr>
      <w:r/>
      <w:bookmarkStart w:id="60" w:name="Аккумуляторные_установки_5_5"/>
      <w:r/>
      <w:bookmarkStart w:id="61" w:name="_Toc112328564"/>
      <w:r/>
      <w:bookmarkStart w:id="62" w:name="_Toc124499100"/>
      <w:r>
        <w:rPr>
          <w:b/>
          <w:sz w:val="28"/>
          <w:szCs w:val="28"/>
        </w:rPr>
        <w:t xml:space="preserve">Аккумуляторные установки</w:t>
      </w:r>
      <w:bookmarkEnd w:id="60"/>
      <w:r/>
      <w:bookmarkEnd w:id="61"/>
      <w:r/>
      <w:bookmarkEnd w:id="62"/>
      <w:r/>
      <w:r>
        <w:rPr>
          <w:b/>
          <w:sz w:val="28"/>
          <w:szCs w:val="28"/>
        </w:rPr>
      </w:r>
    </w:p>
    <w:p>
      <w:pPr>
        <w:pStyle w:val="1180"/>
        <w:ind w:left="709"/>
        <w:jc w:val="both"/>
        <w:spacing w:before="0" w:beforeAutospacing="0" w:after="0" w:afterAutospacing="0"/>
        <w:tabs>
          <w:tab w:val="left" w:pos="1701" w:leader="none"/>
        </w:tabs>
        <w:rPr>
          <w:b/>
        </w:rPr>
      </w:pPr>
      <w:r>
        <w:rPr>
          <w:b/>
        </w:rPr>
      </w:r>
      <w:r>
        <w:rPr>
          <w:b/>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дверях помещения аккумул</w:t>
      </w:r>
      <w:r>
        <w:rPr>
          <w:rFonts w:ascii="Times New Roman" w:hAnsi="Times New Roman" w:cs="Times New Roman"/>
          <w:sz w:val="28"/>
          <w:szCs w:val="28"/>
        </w:rPr>
        <w:t xml:space="preserve">яторной должны быть сделаны надписи: «Аккумуляторная», «Огнеопасно», «Запрещается курить», «С огнем не входить» или вывешены соответствующие знаки безопасности в соответствии с государственными стандартами о запрещении пользоваться открытым огнем и курить.</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замене или ремонте на</w:t>
      </w:r>
      <w:r>
        <w:rPr>
          <w:rFonts w:ascii="Times New Roman" w:hAnsi="Times New Roman" w:cs="Times New Roman"/>
          <w:sz w:val="28"/>
          <w:szCs w:val="28"/>
        </w:rPr>
        <w:t xml:space="preserve">гревательных устройств, светильников, электродвигателей, вентиляции и электропроводки в основных и вспомогательных помещениях аккумуляторных батарей должны учитываться требования их монтажа, установки и эксплуатации во взрывоопасных зонах в соответствии с </w:t>
      </w:r>
      <w:hyperlink r:id="rId37" w:tooltip="&quot;Правила устройства электроустановок (ПУЭ). Оглавление&quot;(утв. Минэнерго России от 06.10.1999)Статус: Статус документа не определен" w:history="1">
        <w:r>
          <w:rPr>
            <w:rStyle w:val="1111"/>
            <w:rFonts w:ascii="Times New Roman" w:hAnsi="Times New Roman"/>
            <w:color w:val="e48b00"/>
            <w:sz w:val="28"/>
            <w:szCs w:val="28"/>
          </w:rPr>
          <w:t xml:space="preserve">ПУЭ</w:t>
        </w:r>
      </w:hyperlink>
      <w:r>
        <w:rPr>
          <w:rFonts w:ascii="Times New Roman" w:hAnsi="Times New Roman" w:cs="Times New Roman"/>
          <w:sz w:val="28"/>
          <w:szCs w:val="28"/>
        </w:rPr>
        <w:t xml:space="preserve">.</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реконструкции аккумуляторной батареи помещение может отапливаться калориферным устройством, располагаемым вне этого помещения, с применением устройств против заноса искр через вентиляционные каналы.</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Трубопроводы парового или водяного отопления аккумуляторных помещений должны соединяться на сварке.</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Запрещаются муфтовые, фланцевые соединения и установка </w:t>
      </w:r>
      <w:r>
        <w:rPr>
          <w:rFonts w:ascii="Times New Roman" w:hAnsi="Times New Roman" w:cs="Times New Roman"/>
          <w:sz w:val="28"/>
          <w:szCs w:val="28"/>
        </w:rPr>
        <w:t xml:space="preserve">вентилей.</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Полы и стеллажи для установки стационарных аккумуляторов должны быть выполнены из негорючих и кислотостойких материалов в соответствии с требованиями </w:t>
      </w:r>
      <w:hyperlink r:id="rId38" w:tooltip="&quot;Правила устройства электроустановок (ПУЭ). Оглавление&quot;(утв. Минэнерго России от 06.10.1999)Статус: Статус документа не определен" w:history="1">
        <w:r>
          <w:rPr>
            <w:rStyle w:val="1111"/>
            <w:rFonts w:ascii="Times New Roman" w:hAnsi="Times New Roman"/>
            <w:color w:val="e48b00"/>
            <w:sz w:val="28"/>
            <w:szCs w:val="28"/>
          </w:rPr>
          <w:t xml:space="preserve">ПУЭ</w:t>
        </w:r>
      </w:hyperlink>
      <w:r>
        <w:rPr>
          <w:rFonts w:ascii="Times New Roman" w:hAnsi="Times New Roman" w:cs="Times New Roman"/>
          <w:sz w:val="28"/>
          <w:szCs w:val="28"/>
        </w:rPr>
        <w:t xml:space="preserve"> и проекта в зависимости от типа аккумуляторных батарей. Ремонт и хранение кислотных и щелочных аккумуляторов должны осуществляться в разных помещениях.</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аккумуляторном помещении забор воздушно-газовой среды при вентиляции должен производиться как из верхней, так и из нижней его части.</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Если потолок имеет выступающие конструкции более 100 мм или наклон, должна быть предусмотрена вытяжка воздуха соответственно из каждого отсека или из самой верхней части потолка.</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естественном освещении помещения аккумуляторных батарей стекла окон должны быть матовыми или покрываться белой клеевой краской, стойкой к агрессивной среде или оснащены специальной защитной пленкой.</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непосредственно в помещениях аккумуляторных батарей курить, хранить кислоты и щелочи в количествах, превышающих односменную потребность, оставлять спецодежду, посторонние предметы и сгораемые материалы.</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Первичные средства пожаротушения должны располагаться вне помещений аккумуляторных.</w:t>
      </w:r>
      <w:r>
        <w:rPr>
          <w:rFonts w:ascii="Times New Roman" w:hAnsi="Times New Roman" w:cs="Times New Roman"/>
          <w:sz w:val="28"/>
          <w:szCs w:val="28"/>
        </w:rPr>
      </w:r>
    </w:p>
    <w:p>
      <w:pPr>
        <w:pStyle w:val="1142"/>
        <w:numPr>
          <w:ilvl w:val="0"/>
          <w:numId w:val="102"/>
        </w:numPr>
        <w:ind w:left="0" w:firstLine="709"/>
        <w:jc w:val="both"/>
        <w:tabs>
          <w:tab w:val="left" w:pos="1701" w:leader="none"/>
        </w:tabs>
        <w:rPr>
          <w:rFonts w:ascii="Times New Roman" w:hAnsi="Times New Roman" w:cs="Times New Roman"/>
          <w:sz w:val="28"/>
          <w:szCs w:val="28"/>
        </w:rPr>
      </w:pPr>
      <w:r/>
      <w:bookmarkStart w:id="63" w:name="_Toc41474117"/>
      <w:r>
        <w:rPr>
          <w:rFonts w:ascii="Times New Roman" w:hAnsi="Times New Roman" w:cs="Times New Roman"/>
          <w:sz w:val="28"/>
          <w:szCs w:val="28"/>
        </w:rPr>
        <w:t xml:space="preserve">Электрооборудован</w:t>
      </w:r>
      <w:r>
        <w:rPr>
          <w:rFonts w:ascii="Times New Roman" w:hAnsi="Times New Roman" w:cs="Times New Roman"/>
          <w:sz w:val="28"/>
          <w:szCs w:val="28"/>
        </w:rPr>
        <w:t xml:space="preserve">ие (светильники, штепсельные соединения и т.п.) в аккумуляторных должны быть во взрывозащищенном исполнении (при условии отнесения помещения аккумуляторной к категории А по взрывопожарной опасности). При наличии в помещении аккумуляторной взрывоопасных зон</w:t>
      </w:r>
      <w:r>
        <w:rPr>
          <w:rFonts w:ascii="Times New Roman" w:hAnsi="Times New Roman" w:cs="Times New Roman"/>
          <w:lang w:eastAsia="en-US"/>
        </w:rPr>
        <w:t xml:space="preserve"> </w:t>
      </w:r>
      <w:r>
        <w:rPr>
          <w:rFonts w:ascii="Times New Roman" w:hAnsi="Times New Roman" w:cs="Times New Roman"/>
          <w:sz w:val="28"/>
          <w:szCs w:val="28"/>
          <w:lang w:eastAsia="en-US"/>
        </w:rPr>
        <w:t xml:space="preserve">электрооборудование (светильники, штепсельные соединения и т.п.) в аккумуляторных должно быть во взрывозащищенном исполнении</w:t>
      </w:r>
      <w:r>
        <w:rPr>
          <w:rFonts w:ascii="Times New Roman" w:hAnsi="Times New Roman" w:cs="Times New Roman"/>
          <w:lang w:eastAsia="en-US"/>
        </w:rPr>
        <w:t xml:space="preserve">.</w:t>
      </w:r>
      <w:bookmarkEnd w:id="63"/>
      <w:r/>
      <w:r>
        <w:rPr>
          <w:rFonts w:ascii="Times New Roman" w:hAnsi="Times New Roman" w:cs="Times New Roman"/>
          <w:sz w:val="28"/>
          <w:szCs w:val="28"/>
        </w:rPr>
      </w:r>
    </w:p>
    <w:p>
      <w:pPr>
        <w:pStyle w:val="1142"/>
        <w:ind w:left="709"/>
        <w:jc w:val="both"/>
        <w:tabs>
          <w:tab w:val="left" w:pos="1701" w:leader="none"/>
        </w:tabs>
        <w:rPr>
          <w:rFonts w:ascii="Times New Roman" w:hAnsi="Times New Roman" w:cs="Times New Roman"/>
          <w:sz w:val="24"/>
          <w:szCs w:val="24"/>
        </w:rPr>
        <w:outlineLvl w:val="1"/>
      </w:pPr>
      <w:r>
        <w:rPr>
          <w:rFonts w:ascii="Times New Roman" w:hAnsi="Times New Roman" w:cs="Times New Roman"/>
          <w:sz w:val="24"/>
          <w:szCs w:val="24"/>
        </w:rPr>
      </w:r>
      <w:r>
        <w:rPr>
          <w:rFonts w:ascii="Times New Roman" w:hAnsi="Times New Roman" w:cs="Times New Roman"/>
          <w:sz w:val="24"/>
          <w:szCs w:val="24"/>
        </w:rPr>
      </w:r>
    </w:p>
    <w:p>
      <w:pPr>
        <w:pStyle w:val="1180"/>
        <w:numPr>
          <w:ilvl w:val="0"/>
          <w:numId w:val="103"/>
        </w:numPr>
        <w:ind w:left="0" w:firstLine="709"/>
        <w:jc w:val="both"/>
        <w:spacing w:before="0" w:beforeAutospacing="0" w:after="0" w:afterAutospacing="0"/>
        <w:tabs>
          <w:tab w:val="left" w:pos="1418" w:leader="none"/>
        </w:tabs>
        <w:rPr>
          <w:b/>
          <w:sz w:val="28"/>
          <w:szCs w:val="28"/>
        </w:rPr>
        <w:outlineLvl w:val="1"/>
      </w:pPr>
      <w:r/>
      <w:bookmarkStart w:id="64" w:name="_Toc112328565"/>
      <w:r/>
      <w:bookmarkStart w:id="65" w:name="_Toc124499101"/>
      <w:r/>
      <w:bookmarkStart w:id="66" w:name="Компрессорные_установки_5_6"/>
      <w:r>
        <w:rPr>
          <w:b/>
          <w:sz w:val="28"/>
          <w:szCs w:val="28"/>
        </w:rPr>
        <w:t xml:space="preserve">Компрессорные установки</w:t>
      </w:r>
      <w:bookmarkEnd w:id="64"/>
      <w:r/>
      <w:bookmarkEnd w:id="65"/>
      <w:r/>
      <w:bookmarkEnd w:id="66"/>
      <w:r>
        <w:rPr>
          <w:b/>
          <w:sz w:val="28"/>
          <w:szCs w:val="28"/>
        </w:rPr>
      </w:r>
    </w:p>
    <w:p>
      <w:pPr>
        <w:pStyle w:val="1180"/>
        <w:ind w:left="709"/>
        <w:jc w:val="both"/>
        <w:spacing w:before="0" w:beforeAutospacing="0" w:after="0" w:afterAutospacing="0"/>
        <w:rPr>
          <w:b/>
          <w:sz w:val="28"/>
          <w:szCs w:val="28"/>
        </w:rPr>
      </w:pPr>
      <w:r>
        <w:rPr>
          <w:b/>
          <w:sz w:val="28"/>
          <w:szCs w:val="28"/>
        </w:rPr>
      </w:r>
      <w:r>
        <w:rPr>
          <w:b/>
          <w:sz w:val="28"/>
          <w:szCs w:val="28"/>
        </w:rPr>
      </w:r>
    </w:p>
    <w:p>
      <w:pPr>
        <w:pStyle w:val="1142"/>
        <w:numPr>
          <w:ilvl w:val="0"/>
          <w:numId w:val="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 допускается размещение компрессоров в помещениях, если в смежном помещении расположены взрывоопасные и химически опасные производства, вызывающие коррозию оборудования и вредно воздействующие на организм человека.</w:t>
      </w:r>
      <w:r>
        <w:rPr>
          <w:rFonts w:ascii="Times New Roman" w:hAnsi="Times New Roman" w:cs="Times New Roman"/>
          <w:sz w:val="28"/>
          <w:szCs w:val="28"/>
        </w:rPr>
      </w:r>
    </w:p>
    <w:p>
      <w:pPr>
        <w:pStyle w:val="1142"/>
        <w:numPr>
          <w:ilvl w:val="0"/>
          <w:numId w:val="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Обтирочный материал должен храниться в специальных металлических закрывающихся ящиках вместимостью не более 0,5 м</w:t>
      </w:r>
      <w:r>
        <w:rPr>
          <w:rFonts w:ascii="Times New Roman" w:hAnsi="Times New Roman" w:cs="Times New Roman"/>
          <w:sz w:val="28"/>
          <w:szCs w:val="28"/>
          <w:vertAlign w:val="superscript"/>
        </w:rPr>
        <w:t xml:space="preserve">3</w:t>
      </w:r>
      <w:r>
        <w:rPr>
          <w:rFonts w:ascii="Times New Roman" w:hAnsi="Times New Roman" w:cs="Times New Roman"/>
          <w:sz w:val="28"/>
          <w:szCs w:val="28"/>
        </w:rPr>
        <w:t xml:space="preserve">, по окончании рабочего дня промасленная ветошь должна удаляться из компрессорной.</w:t>
      </w:r>
      <w:r>
        <w:rPr>
          <w:rFonts w:ascii="Times New Roman" w:hAnsi="Times New Roman" w:cs="Times New Roman"/>
          <w:sz w:val="28"/>
          <w:szCs w:val="28"/>
        </w:rPr>
      </w:r>
    </w:p>
    <w:p>
      <w:pPr>
        <w:pStyle w:val="1142"/>
        <w:numPr>
          <w:ilvl w:val="0"/>
          <w:numId w:val="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 допускается хранение легковоспламеняющихся жидкостей в помещении машинного зала компрессорной установки.</w:t>
      </w:r>
      <w:r>
        <w:rPr>
          <w:rFonts w:ascii="Times New Roman" w:hAnsi="Times New Roman" w:cs="Times New Roman"/>
          <w:sz w:val="28"/>
          <w:szCs w:val="28"/>
        </w:rPr>
      </w:r>
    </w:p>
    <w:p>
      <w:pPr>
        <w:pStyle w:val="1142"/>
        <w:numPr>
          <w:ilvl w:val="0"/>
          <w:numId w:val="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 допускаются утечки масла, особенно его попадание на фундамент. Причины утечек при их обнаружении должны устраняться в кратчайшие сроки.</w:t>
      </w:r>
      <w:r>
        <w:rPr>
          <w:rFonts w:ascii="Times New Roman" w:hAnsi="Times New Roman" w:cs="Times New Roman"/>
          <w:sz w:val="28"/>
          <w:szCs w:val="28"/>
        </w:rPr>
      </w:r>
    </w:p>
    <w:p>
      <w:pPr>
        <w:pStyle w:val="1142"/>
        <w:numPr>
          <w:ilvl w:val="0"/>
          <w:numId w:val="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w:t>
      </w:r>
      <w:r>
        <w:rPr>
          <w:rFonts w:ascii="Times New Roman" w:hAnsi="Times New Roman" w:cs="Times New Roman"/>
          <w:sz w:val="28"/>
          <w:szCs w:val="28"/>
        </w:rPr>
        <w:t xml:space="preserve">дство монтажных и ремонтных работ с применением открытого огня и электросварки в помещении компрессорной станции производится в соответствии с требованиями нормативно-технической документации и только при наличии наряда-допуска на выполнение огневых работ.</w:t>
      </w:r>
      <w:r>
        <w:rPr>
          <w:rFonts w:ascii="Times New Roman" w:hAnsi="Times New Roman" w:cs="Times New Roman"/>
          <w:sz w:val="28"/>
          <w:szCs w:val="28"/>
        </w:rPr>
      </w:r>
    </w:p>
    <w:p>
      <w:pPr>
        <w:ind w:firstLine="709"/>
        <w:jc w:val="both"/>
        <w:rPr>
          <w:sz w:val="28"/>
          <w:szCs w:val="28"/>
        </w:rPr>
      </w:pPr>
      <w:r>
        <w:rPr>
          <w:sz w:val="28"/>
          <w:szCs w:val="28"/>
        </w:rPr>
      </w:r>
      <w:r>
        <w:rPr>
          <w:sz w:val="28"/>
          <w:szCs w:val="28"/>
        </w:rPr>
      </w:r>
    </w:p>
    <w:p>
      <w:pPr>
        <w:pStyle w:val="1180"/>
        <w:numPr>
          <w:ilvl w:val="1"/>
          <w:numId w:val="6"/>
        </w:numPr>
        <w:ind w:left="0" w:firstLine="709"/>
        <w:jc w:val="both"/>
        <w:spacing w:before="0" w:beforeAutospacing="0" w:after="0" w:afterAutospacing="0"/>
        <w:tabs>
          <w:tab w:val="left" w:pos="1418" w:leader="none"/>
        </w:tabs>
        <w:rPr>
          <w:b/>
          <w:sz w:val="28"/>
          <w:szCs w:val="28"/>
        </w:rPr>
        <w:outlineLvl w:val="1"/>
      </w:pPr>
      <w:r/>
      <w:bookmarkStart w:id="67" w:name="Лаборатории_химические_5_7"/>
      <w:r/>
      <w:bookmarkStart w:id="68" w:name="_Toc112328566"/>
      <w:r/>
      <w:bookmarkStart w:id="69" w:name="_Toc124499102"/>
      <w:r>
        <w:rPr>
          <w:b/>
          <w:sz w:val="28"/>
          <w:szCs w:val="28"/>
        </w:rPr>
        <w:t xml:space="preserve">Лаборатории (химические)</w:t>
      </w:r>
      <w:bookmarkEnd w:id="67"/>
      <w:r/>
      <w:bookmarkEnd w:id="68"/>
      <w:r/>
      <w:bookmarkEnd w:id="69"/>
      <w:r/>
      <w:r>
        <w:rPr>
          <w:b/>
          <w:sz w:val="28"/>
          <w:szCs w:val="28"/>
        </w:rPr>
      </w:r>
    </w:p>
    <w:p>
      <w:pPr>
        <w:pStyle w:val="1180"/>
        <w:ind w:left="720"/>
        <w:jc w:val="both"/>
        <w:spacing w:before="0" w:beforeAutospacing="0" w:after="0" w:afterAutospacing="0"/>
        <w:rPr>
          <w:b/>
          <w:sz w:val="28"/>
          <w:szCs w:val="28"/>
        </w:rPr>
      </w:pPr>
      <w:r>
        <w:rPr>
          <w:b/>
          <w:sz w:val="28"/>
          <w:szCs w:val="28"/>
        </w:rPr>
      </w:r>
      <w:r>
        <w:rPr>
          <w:b/>
          <w:sz w:val="28"/>
          <w:szCs w:val="28"/>
        </w:rPr>
      </w:r>
    </w:p>
    <w:p>
      <w:pPr>
        <w:numPr>
          <w:ilvl w:val="2"/>
          <w:numId w:val="8"/>
        </w:numPr>
        <w:ind w:left="0" w:firstLine="709"/>
        <w:jc w:val="both"/>
        <w:tabs>
          <w:tab w:val="left" w:pos="1701" w:leader="none"/>
        </w:tabs>
        <w:rPr>
          <w:b/>
          <w:sz w:val="28"/>
          <w:szCs w:val="28"/>
        </w:rPr>
      </w:pPr>
      <w:r>
        <w:rPr>
          <w:sz w:val="28"/>
          <w:szCs w:val="28"/>
        </w:rPr>
        <w:t xml:space="preserve">В лабораторных помещениях все вещества, материалы и приборы должны храниться строго по ассортименту или по типу. Запрещается совместное хранение веществ, химическое воздействие которых может вызвать взрыв или пожар.</w:t>
      </w:r>
      <w:r>
        <w:rPr>
          <w:b/>
          <w:sz w:val="28"/>
          <w:szCs w:val="28"/>
        </w:rPr>
      </w:r>
    </w:p>
    <w:p>
      <w:pPr>
        <w:numPr>
          <w:ilvl w:val="2"/>
          <w:numId w:val="8"/>
        </w:numPr>
        <w:ind w:left="0" w:firstLine="709"/>
        <w:jc w:val="both"/>
        <w:tabs>
          <w:tab w:val="left" w:pos="1701" w:leader="none"/>
        </w:tabs>
        <w:rPr>
          <w:b/>
          <w:sz w:val="28"/>
          <w:szCs w:val="28"/>
        </w:rPr>
      </w:pPr>
      <w:r>
        <w:rPr>
          <w:sz w:val="28"/>
          <w:szCs w:val="28"/>
        </w:rPr>
        <w:t xml:space="preserve">Химические реактивы должны храниться на металлических стеллажах. В случае установки деревянных конструкций, они должны быть обработаны огнезащитным составом.</w:t>
      </w:r>
      <w:r>
        <w:rPr>
          <w:b/>
          <w:sz w:val="28"/>
          <w:szCs w:val="28"/>
        </w:rPr>
      </w:r>
    </w:p>
    <w:p>
      <w:pPr>
        <w:numPr>
          <w:ilvl w:val="2"/>
          <w:numId w:val="8"/>
        </w:numPr>
        <w:ind w:left="0" w:firstLine="709"/>
        <w:jc w:val="both"/>
        <w:tabs>
          <w:tab w:val="left" w:pos="1701" w:leader="none"/>
        </w:tabs>
        <w:rPr>
          <w:b/>
          <w:color w:val="000000"/>
          <w:sz w:val="28"/>
          <w:szCs w:val="28"/>
        </w:rPr>
      </w:pPr>
      <w:r>
        <w:rPr>
          <w:sz w:val="28"/>
          <w:szCs w:val="28"/>
        </w:rPr>
        <w:t xml:space="preserve">Концентрированные кислоты (серная, соляная, азотная и др.) хранят под тягой</w:t>
      </w:r>
      <w:r>
        <w:rPr>
          <w:color w:val="000000"/>
          <w:sz w:val="28"/>
          <w:szCs w:val="28"/>
        </w:rPr>
        <w:t xml:space="preserve"> или в специально оборудованных шкафах. При хранении азотной и серной кислот должны быть приняты меры к недопущению соприкосновения их с древесиной, соломой и другими веществами органического происхождения.</w:t>
      </w:r>
      <w:r>
        <w:rPr>
          <w:b/>
          <w:color w:val="000000"/>
          <w:sz w:val="28"/>
          <w:szCs w:val="28"/>
        </w:rPr>
      </w:r>
    </w:p>
    <w:p>
      <w:pPr>
        <w:numPr>
          <w:ilvl w:val="2"/>
          <w:numId w:val="8"/>
        </w:numPr>
        <w:ind w:left="0" w:firstLine="709"/>
        <w:jc w:val="both"/>
        <w:tabs>
          <w:tab w:val="left" w:pos="1701" w:leader="none"/>
        </w:tabs>
        <w:rPr>
          <w:b/>
          <w:sz w:val="28"/>
          <w:szCs w:val="28"/>
        </w:rPr>
      </w:pPr>
      <w:r>
        <w:rPr>
          <w:sz w:val="28"/>
          <w:szCs w:val="28"/>
        </w:rPr>
        <w:t xml:space="preserve">Лабора</w:t>
      </w:r>
      <w:r>
        <w:rPr>
          <w:sz w:val="28"/>
          <w:szCs w:val="28"/>
        </w:rPr>
        <w:t xml:space="preserve">торная мебель, испытательные стенды и другое лабораторное оборудование должны устанавливаться на расстоянии не менее 1 м от отопительных приборов и так, чтобы они не препятствовали эвакуации персонала. Минимально допустимая ширина проходов должна быть 1 м.</w:t>
      </w:r>
      <w:r>
        <w:rPr>
          <w:b/>
          <w:sz w:val="28"/>
          <w:szCs w:val="28"/>
        </w:rPr>
      </w:r>
    </w:p>
    <w:p>
      <w:pPr>
        <w:numPr>
          <w:ilvl w:val="2"/>
          <w:numId w:val="8"/>
        </w:numPr>
        <w:ind w:left="0" w:firstLine="709"/>
        <w:jc w:val="both"/>
        <w:tabs>
          <w:tab w:val="left" w:pos="1701" w:leader="none"/>
        </w:tabs>
        <w:rPr>
          <w:b/>
          <w:sz w:val="28"/>
          <w:szCs w:val="28"/>
        </w:rPr>
      </w:pPr>
      <w:r>
        <w:rPr>
          <w:sz w:val="28"/>
          <w:szCs w:val="28"/>
        </w:rPr>
        <w:t xml:space="preserve">Полы в химических лабораторных помещениях должны выполняться из метлахской плитки, линолеума и других материалов в зависимости от технологических требований и обращаемых химических веществ.</w:t>
      </w:r>
      <w:r>
        <w:rPr>
          <w:b/>
          <w:sz w:val="28"/>
          <w:szCs w:val="28"/>
        </w:rPr>
      </w:r>
    </w:p>
    <w:p>
      <w:pPr>
        <w:numPr>
          <w:ilvl w:val="2"/>
          <w:numId w:val="8"/>
        </w:numPr>
        <w:ind w:left="0" w:firstLine="709"/>
        <w:jc w:val="both"/>
        <w:tabs>
          <w:tab w:val="left" w:pos="1701" w:leader="none"/>
        </w:tabs>
        <w:rPr>
          <w:b/>
          <w:sz w:val="28"/>
          <w:szCs w:val="28"/>
        </w:rPr>
      </w:pPr>
      <w:r>
        <w:rPr>
          <w:sz w:val="28"/>
          <w:szCs w:val="28"/>
        </w:rPr>
        <w:t xml:space="preserve">Все работы в лабораторных помещениях, при которых выделяются вредные и горючие пары и газы, должны производиться толь</w:t>
      </w:r>
      <w:r>
        <w:rPr>
          <w:sz w:val="28"/>
          <w:szCs w:val="28"/>
        </w:rPr>
        <w:t xml:space="preserve">ко в вытяжных шкафах и при работающей вентиляции, чтобы фактические концентрации паров, газов и пыли в воздухе помещения нигде не превышали предельно допустимых концентраций. Запрещается установка вытяжных шкафов непосредственно у выходных дверных проемов.</w:t>
      </w:r>
      <w:r>
        <w:rPr>
          <w:b/>
          <w:sz w:val="28"/>
          <w:szCs w:val="28"/>
        </w:rPr>
      </w:r>
    </w:p>
    <w:p>
      <w:pPr>
        <w:numPr>
          <w:ilvl w:val="2"/>
          <w:numId w:val="8"/>
        </w:numPr>
        <w:ind w:left="0" w:firstLine="709"/>
        <w:jc w:val="both"/>
        <w:tabs>
          <w:tab w:val="left" w:pos="1701" w:leader="none"/>
        </w:tabs>
        <w:rPr>
          <w:b/>
          <w:sz w:val="28"/>
          <w:szCs w:val="28"/>
        </w:rPr>
      </w:pPr>
      <w:r>
        <w:rPr>
          <w:sz w:val="28"/>
          <w:szCs w:val="28"/>
        </w:rPr>
        <w:t xml:space="preserve">Рабочие столы и вытяжные шкафы, предназначенные д</w:t>
      </w:r>
      <w:r>
        <w:rPr>
          <w:sz w:val="28"/>
          <w:szCs w:val="28"/>
        </w:rPr>
        <w:t xml:space="preserve">ля работы с применением нагрева или взрывопожароопасных веществ, должны быть полностью покрыты несгораемым материалом, а предназначенные для работы с кислотами и щелочами - антикоррозионным материалом и иметь бортики, предотвращающие разлив жидких веществ.</w:t>
      </w:r>
      <w:r>
        <w:rPr>
          <w:b/>
          <w:sz w:val="28"/>
          <w:szCs w:val="28"/>
        </w:rPr>
      </w:r>
    </w:p>
    <w:p>
      <w:pPr>
        <w:numPr>
          <w:ilvl w:val="2"/>
          <w:numId w:val="8"/>
        </w:numPr>
        <w:ind w:left="0" w:firstLine="709"/>
        <w:jc w:val="both"/>
        <w:tabs>
          <w:tab w:val="left" w:pos="1701" w:leader="none"/>
        </w:tabs>
        <w:rPr>
          <w:b/>
          <w:sz w:val="28"/>
          <w:szCs w:val="28"/>
        </w:rPr>
      </w:pPr>
      <w:r>
        <w:rPr>
          <w:sz w:val="28"/>
          <w:szCs w:val="28"/>
        </w:rPr>
        <w:t xml:space="preserve">Сотрудникам лабораторий запрещается оставлять без присмотра зажженные горелки, нагревательные приборы, включенные испытательные стенды и оборудование.</w:t>
      </w:r>
      <w:r>
        <w:rPr>
          <w:b/>
          <w:sz w:val="28"/>
          <w:szCs w:val="28"/>
        </w:rPr>
      </w:r>
    </w:p>
    <w:p>
      <w:pPr>
        <w:numPr>
          <w:ilvl w:val="2"/>
          <w:numId w:val="8"/>
        </w:numPr>
        <w:ind w:left="0" w:firstLine="709"/>
        <w:jc w:val="both"/>
        <w:tabs>
          <w:tab w:val="left" w:pos="1701" w:leader="none"/>
        </w:tabs>
        <w:rPr>
          <w:b/>
          <w:sz w:val="28"/>
          <w:szCs w:val="28"/>
        </w:rPr>
      </w:pPr>
      <w:r>
        <w:rPr>
          <w:sz w:val="28"/>
          <w:szCs w:val="28"/>
        </w:rPr>
        <w:t xml:space="preserve">По окончании смены каждый сотрудник обязан проверить и привести в порядок свое рабочее место, отключить приборы и аппараты, </w:t>
      </w:r>
      <w:r>
        <w:rPr>
          <w:sz w:val="28"/>
          <w:szCs w:val="28"/>
        </w:rPr>
        <w:t xml:space="preserve">убрать инструменты и документацию, промыть пожаробезопасными растворами (составами) сосуды, в которых проводились работы с ЛВЖ и ГЖ.</w:t>
      </w:r>
      <w:r>
        <w:rPr>
          <w:b/>
          <w:sz w:val="28"/>
          <w:szCs w:val="28"/>
        </w:rPr>
      </w:r>
    </w:p>
    <w:p>
      <w:pPr>
        <w:numPr>
          <w:ilvl w:val="2"/>
          <w:numId w:val="8"/>
        </w:numPr>
        <w:ind w:left="0" w:firstLine="709"/>
        <w:jc w:val="both"/>
        <w:tabs>
          <w:tab w:val="left" w:pos="1701" w:leader="none"/>
        </w:tabs>
        <w:rPr>
          <w:color w:val="000000"/>
          <w:sz w:val="28"/>
          <w:szCs w:val="28"/>
        </w:rPr>
      </w:pPr>
      <w:r>
        <w:rPr>
          <w:sz w:val="28"/>
          <w:szCs w:val="28"/>
        </w:rPr>
        <w:t xml:space="preserve">Размещение, эксплуатация и хранение баллонов со сжатыми газами должна осуществляться в соответствии с «Правилами промышленной безопасности при использовании оборудования, работающего под избыточным давлением»</w:t>
      </w:r>
      <w:r>
        <w:rPr>
          <w:color w:val="000000"/>
          <w:sz w:val="28"/>
          <w:szCs w:val="28"/>
        </w:rPr>
        <w:t xml:space="preserve">.</w:t>
      </w:r>
      <w:r>
        <w:rPr>
          <w:color w:val="000000"/>
          <w:sz w:val="28"/>
          <w:szCs w:val="28"/>
        </w:rPr>
      </w:r>
    </w:p>
    <w:p>
      <w:pPr>
        <w:numPr>
          <w:ilvl w:val="2"/>
          <w:numId w:val="8"/>
        </w:numPr>
        <w:ind w:left="0" w:firstLine="709"/>
        <w:jc w:val="both"/>
        <w:tabs>
          <w:tab w:val="left" w:pos="1134" w:leader="none"/>
          <w:tab w:val="left" w:pos="1701" w:leader="none"/>
        </w:tabs>
        <w:rPr>
          <w:b/>
          <w:sz w:val="28"/>
          <w:szCs w:val="28"/>
          <w:u w:val="single"/>
        </w:rPr>
      </w:pPr>
      <w:r>
        <w:rPr>
          <w:sz w:val="28"/>
          <w:szCs w:val="28"/>
        </w:rPr>
        <w:t xml:space="preserve">Помещения лабораторий должны быть оснащены необходимыми средствами пожаротушения в соответствии с нормами комплектования и с учетом категории помещения по пожарной и взрывопожарной опасности, а также класса пожара.</w:t>
      </w:r>
      <w:r>
        <w:rPr>
          <w:b/>
          <w:sz w:val="28"/>
          <w:szCs w:val="28"/>
          <w:u w:val="single"/>
        </w:rPr>
      </w:r>
    </w:p>
    <w:p>
      <w:pPr>
        <w:numPr>
          <w:ilvl w:val="2"/>
          <w:numId w:val="8"/>
        </w:numPr>
        <w:ind w:left="0" w:firstLine="709"/>
        <w:jc w:val="both"/>
        <w:tabs>
          <w:tab w:val="left" w:pos="1134" w:leader="none"/>
          <w:tab w:val="left" w:pos="1701" w:leader="none"/>
        </w:tabs>
        <w:rPr>
          <w:b/>
          <w:sz w:val="28"/>
          <w:szCs w:val="28"/>
        </w:rPr>
      </w:pPr>
      <w:r>
        <w:rPr>
          <w:sz w:val="28"/>
          <w:szCs w:val="28"/>
        </w:rPr>
        <w:t xml:space="preserve">В помещении химической лаборатории запрещается:</w:t>
      </w:r>
      <w:r>
        <w:rPr>
          <w:b/>
          <w:sz w:val="28"/>
          <w:szCs w:val="28"/>
        </w:rPr>
      </w:r>
    </w:p>
    <w:p>
      <w:pPr>
        <w:pStyle w:val="1142"/>
        <w:numPr>
          <w:ilvl w:val="0"/>
          <w:numId w:val="6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работы при неисправной вентиляции и с разбитыми стеклами вытяжных шкафов.</w:t>
      </w:r>
      <w:r>
        <w:rPr>
          <w:rFonts w:ascii="Times New Roman" w:hAnsi="Times New Roman" w:cs="Times New Roman"/>
          <w:sz w:val="28"/>
          <w:szCs w:val="28"/>
        </w:rPr>
      </w:r>
    </w:p>
    <w:p>
      <w:pPr>
        <w:pStyle w:val="1142"/>
        <w:numPr>
          <w:ilvl w:val="0"/>
          <w:numId w:val="6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Пользоваться электронагревательными приборами с открытой спиралью.</w:t>
      </w:r>
      <w:r>
        <w:rPr>
          <w:rFonts w:ascii="Times New Roman" w:hAnsi="Times New Roman" w:cs="Times New Roman"/>
          <w:sz w:val="28"/>
          <w:szCs w:val="28"/>
        </w:rPr>
      </w:r>
    </w:p>
    <w:p>
      <w:pPr>
        <w:pStyle w:val="1142"/>
        <w:numPr>
          <w:ilvl w:val="0"/>
          <w:numId w:val="6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Пользоваться электрокаминами и иными электронагревательными приборами</w:t>
      </w:r>
      <w:r>
        <w:t xml:space="preserve"> </w:t>
      </w:r>
      <w:r>
        <w:rPr>
          <w:rFonts w:ascii="Times New Roman" w:hAnsi="Times New Roman" w:cs="Times New Roman"/>
          <w:sz w:val="28"/>
          <w:szCs w:val="28"/>
        </w:rPr>
        <w:t xml:space="preserve">(кроме электрооборудования и приборов для нужд лаборатории).</w:t>
      </w:r>
      <w:r>
        <w:rPr>
          <w:rFonts w:ascii="Times New Roman" w:hAnsi="Times New Roman" w:cs="Times New Roman"/>
          <w:sz w:val="28"/>
          <w:szCs w:val="28"/>
        </w:rPr>
      </w:r>
    </w:p>
    <w:p>
      <w:pPr>
        <w:pStyle w:val="1142"/>
        <w:numPr>
          <w:ilvl w:val="0"/>
          <w:numId w:val="6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Курить и пользоваться открытым огнем.</w:t>
      </w:r>
      <w:r>
        <w:rPr>
          <w:rFonts w:ascii="Times New Roman" w:hAnsi="Times New Roman" w:cs="Times New Roman"/>
          <w:sz w:val="28"/>
          <w:szCs w:val="28"/>
        </w:rPr>
      </w:r>
    </w:p>
    <w:p>
      <w:pPr>
        <w:pStyle w:val="1142"/>
        <w:numPr>
          <w:ilvl w:val="0"/>
          <w:numId w:val="6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Тушить водой горящие вещества, нерастворимые в воде (бензин, скипидар, эфир, масла и др.).</w:t>
      </w:r>
      <w:r>
        <w:rPr>
          <w:rFonts w:ascii="Times New Roman" w:hAnsi="Times New Roman" w:cs="Times New Roman"/>
          <w:sz w:val="28"/>
          <w:szCs w:val="28"/>
        </w:rPr>
      </w:r>
    </w:p>
    <w:p>
      <w:pPr>
        <w:pStyle w:val="1142"/>
        <w:numPr>
          <w:ilvl w:val="0"/>
          <w:numId w:val="6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Проверять герметичность газовых линий и соединений на предмет утечки газа с помощью огня.</w:t>
      </w:r>
      <w:r>
        <w:rPr>
          <w:rFonts w:ascii="Times New Roman" w:hAnsi="Times New Roman" w:cs="Times New Roman"/>
          <w:sz w:val="28"/>
          <w:szCs w:val="28"/>
        </w:rPr>
      </w:r>
    </w:p>
    <w:p>
      <w:pPr>
        <w:pStyle w:val="1142"/>
        <w:numPr>
          <w:ilvl w:val="0"/>
          <w:numId w:val="6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Сливать легковоспламеняющиеся и горючие жидкости в канализацию.</w:t>
      </w:r>
      <w:r>
        <w:rPr>
          <w:rFonts w:ascii="Times New Roman" w:hAnsi="Times New Roman" w:cs="Times New Roman"/>
          <w:sz w:val="28"/>
          <w:szCs w:val="28"/>
        </w:rPr>
      </w:r>
    </w:p>
    <w:p>
      <w:pPr>
        <w:numPr>
          <w:ilvl w:val="2"/>
          <w:numId w:val="8"/>
        </w:numPr>
        <w:ind w:left="0" w:firstLine="709"/>
        <w:jc w:val="both"/>
        <w:tabs>
          <w:tab w:val="left" w:pos="1701" w:leader="none"/>
        </w:tabs>
        <w:rPr>
          <w:sz w:val="28"/>
          <w:szCs w:val="28"/>
        </w:rPr>
      </w:pPr>
      <w:r>
        <w:rPr>
          <w:sz w:val="28"/>
          <w:szCs w:val="28"/>
        </w:rPr>
        <w:t xml:space="preserve">Все электрооборудование и приборы должны быть в исправном состоянии, установлены на столах, защищённых стальными листами или несгораемым материалом. Металлические корпуса электрооборудования и приборов, питающиеся от сети 220 В, должны быть заземлены.</w:t>
      </w:r>
      <w:r>
        <w:rPr>
          <w:sz w:val="28"/>
          <w:szCs w:val="28"/>
        </w:rPr>
      </w:r>
    </w:p>
    <w:p>
      <w:pPr>
        <w:numPr>
          <w:ilvl w:val="2"/>
          <w:numId w:val="8"/>
        </w:numPr>
        <w:ind w:left="0" w:firstLine="709"/>
        <w:jc w:val="both"/>
        <w:tabs>
          <w:tab w:val="left" w:pos="1701" w:leader="none"/>
        </w:tabs>
        <w:rPr>
          <w:sz w:val="28"/>
          <w:szCs w:val="28"/>
        </w:rPr>
      </w:pPr>
      <w:r>
        <w:rPr>
          <w:sz w:val="28"/>
          <w:szCs w:val="28"/>
        </w:rPr>
        <w:t xml:space="preserve">Не допускается накопление проб трансформаторного масла и промасленных салфеток рядом с установками для определения температуры вспышки и тангенса угла диэлектрических потерь.</w:t>
      </w:r>
      <w:r>
        <w:rPr>
          <w:sz w:val="28"/>
          <w:szCs w:val="28"/>
        </w:rPr>
      </w:r>
    </w:p>
    <w:p>
      <w:pPr>
        <w:numPr>
          <w:ilvl w:val="2"/>
          <w:numId w:val="8"/>
        </w:numPr>
        <w:ind w:left="0" w:firstLine="709"/>
        <w:jc w:val="both"/>
        <w:tabs>
          <w:tab w:val="left" w:pos="1701" w:leader="none"/>
        </w:tabs>
        <w:rPr>
          <w:sz w:val="28"/>
          <w:szCs w:val="28"/>
        </w:rPr>
      </w:pPr>
      <w:r>
        <w:rPr>
          <w:sz w:val="28"/>
          <w:szCs w:val="28"/>
        </w:rPr>
        <w:t xml:space="preserve">При хранении химических веществ в лаборатории необходимо соблюдать следующие меры безопасности:</w:t>
      </w:r>
      <w:r>
        <w:rPr>
          <w:sz w:val="28"/>
          <w:szCs w:val="28"/>
        </w:rPr>
      </w:r>
    </w:p>
    <w:p>
      <w:pPr>
        <w:pStyle w:val="1142"/>
        <w:numPr>
          <w:ilvl w:val="1"/>
          <w:numId w:val="6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Химические реактивы должны храниться в банках, склянках с притертыми стеклянными пробками или пластмассовыми крышками с герметизирующими прокладками из полиэтилена.</w:t>
      </w:r>
      <w:r>
        <w:rPr>
          <w:rFonts w:ascii="Times New Roman" w:hAnsi="Times New Roman" w:cs="Times New Roman"/>
          <w:sz w:val="28"/>
          <w:szCs w:val="28"/>
        </w:rPr>
      </w:r>
    </w:p>
    <w:p>
      <w:pPr>
        <w:pStyle w:val="1142"/>
        <w:numPr>
          <w:ilvl w:val="1"/>
          <w:numId w:val="6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каждом сосуде должна быть этикетка с обозначением, что в нем находится.</w:t>
      </w:r>
      <w:r>
        <w:rPr>
          <w:rFonts w:ascii="Times New Roman" w:hAnsi="Times New Roman" w:cs="Times New Roman"/>
          <w:sz w:val="28"/>
          <w:szCs w:val="28"/>
        </w:rPr>
      </w:r>
    </w:p>
    <w:p>
      <w:pPr>
        <w:pStyle w:val="1142"/>
        <w:numPr>
          <w:ilvl w:val="1"/>
          <w:numId w:val="6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хранить горючие жидкости в вытяжном шкафу, где производят работы с нагревательными приборами.</w:t>
      </w:r>
      <w:r>
        <w:rPr>
          <w:rFonts w:ascii="Times New Roman" w:hAnsi="Times New Roman" w:cs="Times New Roman"/>
          <w:sz w:val="28"/>
          <w:szCs w:val="28"/>
        </w:rPr>
      </w:r>
    </w:p>
    <w:p>
      <w:pPr>
        <w:numPr>
          <w:ilvl w:val="2"/>
          <w:numId w:val="8"/>
        </w:numPr>
        <w:ind w:left="0" w:firstLine="709"/>
        <w:jc w:val="both"/>
        <w:tabs>
          <w:tab w:val="left" w:pos="1701" w:leader="none"/>
        </w:tabs>
        <w:rPr>
          <w:sz w:val="28"/>
          <w:szCs w:val="28"/>
        </w:rPr>
      </w:pPr>
      <w:r>
        <w:rPr>
          <w:sz w:val="28"/>
          <w:szCs w:val="28"/>
        </w:rPr>
        <w:t xml:space="preserve">Химикаты в мелкой таре разрешается хранить в шкафах или на стеллажах открытого типа.</w:t>
      </w:r>
      <w:r>
        <w:rPr>
          <w:sz w:val="28"/>
          <w:szCs w:val="28"/>
        </w:rPr>
      </w:r>
    </w:p>
    <w:p>
      <w:pPr>
        <w:numPr>
          <w:ilvl w:val="2"/>
          <w:numId w:val="8"/>
        </w:numPr>
        <w:ind w:left="0" w:firstLine="709"/>
        <w:jc w:val="both"/>
        <w:tabs>
          <w:tab w:val="left" w:pos="1701" w:leader="none"/>
        </w:tabs>
        <w:rPr>
          <w:sz w:val="28"/>
          <w:szCs w:val="28"/>
        </w:rPr>
      </w:pPr>
      <w:r>
        <w:rPr>
          <w:sz w:val="28"/>
          <w:szCs w:val="28"/>
        </w:rPr>
        <w:t xml:space="preserve">Химические реактивы, склонные к самовозгоранию при контакте с воздухом, горючими веществами, должны храниться в специальных помещениях и таре, исключающих возможность такого контакта.</w:t>
      </w:r>
      <w:r>
        <w:rPr>
          <w:sz w:val="28"/>
          <w:szCs w:val="28"/>
        </w:rPr>
      </w:r>
    </w:p>
    <w:p>
      <w:pPr>
        <w:numPr>
          <w:ilvl w:val="2"/>
          <w:numId w:val="8"/>
        </w:numPr>
        <w:ind w:left="0" w:firstLine="720"/>
        <w:jc w:val="both"/>
        <w:tabs>
          <w:tab w:val="left" w:pos="1701" w:leader="none"/>
        </w:tabs>
        <w:rPr>
          <w:sz w:val="28"/>
          <w:szCs w:val="28"/>
        </w:rPr>
      </w:pPr>
      <w:r>
        <w:rPr>
          <w:sz w:val="28"/>
          <w:szCs w:val="28"/>
        </w:rPr>
        <w:t xml:space="preserve">В рабочих помещениях химической лаборатории разрешается хранить не более 1 кг горючих веществ каждого названия и не более 3 кг в общей сложности. Промасленные ветошь и бумагу нужно собирать в стеклянные емкости (эксика</w:t>
      </w:r>
      <w:r>
        <w:rPr>
          <w:sz w:val="28"/>
          <w:szCs w:val="28"/>
        </w:rPr>
        <w:t xml:space="preserve">торы) с плотно закрывающимися крышками и в конце рабочего дня выносить в специально отведённое место за пределы химической лаборатории. Отработанные легковоспламеняющиеся и горючие жидкости собираются в специальную закрытую тару для последующей утилизации.</w:t>
      </w:r>
      <w:r>
        <w:rPr>
          <w:sz w:val="28"/>
          <w:szCs w:val="28"/>
        </w:rPr>
      </w:r>
    </w:p>
    <w:p>
      <w:pPr>
        <w:pStyle w:val="1223"/>
        <w:ind w:left="709"/>
        <w:jc w:val="both"/>
        <w:tabs>
          <w:tab w:val="left" w:pos="1701" w:leader="none"/>
        </w:tabs>
        <w:rPr>
          <w:rFonts w:ascii="Times New Roman" w:hAnsi="Times New Roman"/>
          <w:sz w:val="28"/>
          <w:szCs w:val="28"/>
        </w:rPr>
      </w:pPr>
      <w:r>
        <w:rPr>
          <w:rFonts w:ascii="Times New Roman" w:hAnsi="Times New Roman"/>
          <w:sz w:val="28"/>
          <w:szCs w:val="28"/>
        </w:rPr>
      </w:r>
      <w:r>
        <w:rPr>
          <w:rFonts w:ascii="Times New Roman" w:hAnsi="Times New Roman"/>
          <w:sz w:val="28"/>
          <w:szCs w:val="28"/>
        </w:rPr>
      </w:r>
    </w:p>
    <w:p>
      <w:pPr>
        <w:pStyle w:val="1223"/>
        <w:ind w:left="709"/>
        <w:jc w:val="both"/>
        <w:tabs>
          <w:tab w:val="left" w:pos="1701" w:leader="none"/>
        </w:tabs>
        <w:rPr>
          <w:rFonts w:ascii="Times New Roman" w:hAnsi="Times New Roman"/>
          <w:sz w:val="28"/>
          <w:szCs w:val="28"/>
        </w:rPr>
      </w:pPr>
      <w:r>
        <w:rPr>
          <w:rFonts w:ascii="Times New Roman" w:hAnsi="Times New Roman"/>
          <w:sz w:val="28"/>
          <w:szCs w:val="28"/>
        </w:rPr>
      </w:r>
      <w:r>
        <w:rPr>
          <w:rFonts w:ascii="Times New Roman" w:hAnsi="Times New Roman"/>
          <w:sz w:val="28"/>
          <w:szCs w:val="28"/>
        </w:rPr>
      </w:r>
    </w:p>
    <w:p>
      <w:pPr>
        <w:pStyle w:val="1180"/>
        <w:numPr>
          <w:ilvl w:val="1"/>
          <w:numId w:val="15"/>
        </w:numPr>
        <w:ind w:left="0" w:firstLine="709"/>
        <w:jc w:val="both"/>
        <w:spacing w:before="0" w:beforeAutospacing="0" w:after="0" w:afterAutospacing="0"/>
        <w:tabs>
          <w:tab w:val="left" w:pos="1418" w:leader="none"/>
        </w:tabs>
        <w:rPr>
          <w:b/>
          <w:sz w:val="28"/>
          <w:szCs w:val="28"/>
        </w:rPr>
        <w:outlineLvl w:val="1"/>
      </w:pPr>
      <w:r/>
      <w:bookmarkStart w:id="70" w:name="Воздушные_линии_электропередачи_5_8"/>
      <w:r/>
      <w:bookmarkStart w:id="71" w:name="_Toc112328567"/>
      <w:r/>
      <w:bookmarkStart w:id="72" w:name="_Toc124499103"/>
      <w:r>
        <w:rPr>
          <w:b/>
          <w:sz w:val="28"/>
          <w:szCs w:val="28"/>
        </w:rPr>
        <w:t xml:space="preserve">Воздушные линии электропередачи</w:t>
      </w:r>
      <w:bookmarkEnd w:id="70"/>
      <w:r/>
      <w:bookmarkEnd w:id="71"/>
      <w:r/>
      <w:bookmarkEnd w:id="72"/>
      <w:r/>
      <w:r>
        <w:rPr>
          <w:b/>
          <w:sz w:val="28"/>
          <w:szCs w:val="28"/>
        </w:rPr>
      </w:r>
    </w:p>
    <w:p>
      <w:pPr>
        <w:pStyle w:val="1180"/>
        <w:ind w:left="709"/>
        <w:jc w:val="both"/>
        <w:spacing w:before="0" w:beforeAutospacing="0" w:after="0" w:afterAutospacing="0"/>
        <w:tabs>
          <w:tab w:val="left" w:pos="1276" w:leader="none"/>
        </w:tabs>
        <w:rPr>
          <w:b/>
          <w:sz w:val="28"/>
          <w:szCs w:val="28"/>
        </w:rPr>
      </w:pPr>
      <w:r>
        <w:rPr>
          <w:b/>
          <w:sz w:val="28"/>
          <w:szCs w:val="28"/>
        </w:rPr>
      </w:r>
      <w:r>
        <w:rPr>
          <w:b/>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Для обеспечения требуемого уровня пожарной безопасности просеки ВЛ в границах охранных зон и участки под опорами должны содержаться в пожаробезопасном состоянии.</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До наступления пожароопасного периода должны быть актуализированы (составлены) и утверждены техническим руководителем Филиала перечни пожароопасных участков ВЛ (при наличии).</w:t>
      </w:r>
      <w:r>
        <w:rPr>
          <w:sz w:val="28"/>
          <w:szCs w:val="28"/>
        </w:rPr>
      </w:r>
    </w:p>
    <w:p>
      <w:pPr>
        <w:pStyle w:val="1180"/>
        <w:ind w:firstLine="709"/>
        <w:jc w:val="both"/>
        <w:spacing w:before="0" w:beforeAutospacing="0" w:after="0" w:afterAutospacing="0"/>
        <w:tabs>
          <w:tab w:val="left" w:pos="1701" w:leader="none"/>
        </w:tabs>
        <w:rPr>
          <w:sz w:val="28"/>
          <w:szCs w:val="28"/>
        </w:rPr>
      </w:pPr>
      <w:r>
        <w:rPr>
          <w:sz w:val="28"/>
          <w:szCs w:val="28"/>
        </w:rPr>
        <w:t xml:space="preserve">Перечни пожароопасных участков ВЛ должны актуализироваться на основании анализа расследования причин аварий на ВЛ, произошедших вследствие природных пожаров, и результатов осмотров трасс ВЛ.</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Организация работ по планированию противопожарных мероприятий на пожароопасных участках ВЛ, а также контроль за выполнением данных мероприятий, возлагается на персонал структурных подразделений, ответственных за эксплуатацию и ремонт ВЛ.</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При подготовке к пожароопасному периоду для деревянных опор ВЛ, проходящих по пожароопасным участкам, должны быть выполнены противопожарные мероприятия в соответствии с требованиями </w:t>
      </w:r>
      <w:hyperlink r:id="rId39" w:tooltip="&quot;Правила устройства электроустановок (ПУЭ). Оглавление&quot;(утв. Минэнерго России от 06.10.1999)Статус: Статус документа не определен" w:history="1">
        <w:r>
          <w:rPr>
            <w:rStyle w:val="1111"/>
            <w:color w:val="e48b00"/>
            <w:sz w:val="28"/>
            <w:szCs w:val="28"/>
          </w:rPr>
          <w:t xml:space="preserve">ПУЭ</w:t>
        </w:r>
      </w:hyperlink>
      <w:r>
        <w:rPr>
          <w:sz w:val="28"/>
          <w:szCs w:val="28"/>
        </w:rPr>
        <w:t xml:space="preserve"> или по всей длине пожароопасного участка ВЛ должна создаваться защитная минерализованная полоса шириной не менее 1,4 м с внутренней стороны от обеих границ охранной зоны ВЛ.</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При эксплуатации ВЛ должны производиться их пе</w:t>
      </w:r>
      <w:r>
        <w:rPr>
          <w:sz w:val="28"/>
          <w:szCs w:val="28"/>
        </w:rPr>
        <w:t xml:space="preserve">риодические осмотры по утвержденным графикам. Внеочередные осмотры ВЛ должны проводиться в летний пожароопасный период для установления очагов загорания вблизи ВЛ вследствие лесных (торфяных и низовых) пожаров, в том числе на сельскохозяйственных угодьях. </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При обнаружении лесных пожаров вблиз</w:t>
      </w:r>
      <w:r>
        <w:rPr>
          <w:sz w:val="28"/>
          <w:szCs w:val="28"/>
        </w:rPr>
        <w:t xml:space="preserve">и ВЛ персонал Филиала должен немедленно уведомлять о них свое руководство, органы государственной власти, органы местного самоуправления, а также органы осуществляющие в соответствии с действующим законодательством надзор за пожарной безопасностью в лесах.</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После прохождения низовых и верховых пожаров вблизи линий электропередачи должен быть организован внеплановый осмотр трассы ВЛ и при необходимости организована вырубка деревьев, угрожающих падением.</w:t>
      </w:r>
      <w:r>
        <w:rPr>
          <w:sz w:val="28"/>
          <w:szCs w:val="28"/>
        </w:rPr>
      </w:r>
    </w:p>
    <w:p>
      <w:pPr>
        <w:pStyle w:val="1142"/>
        <w:numPr>
          <w:ilvl w:val="2"/>
          <w:numId w:val="15"/>
        </w:numPr>
        <w:ind w:left="0" w:firstLine="708"/>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подготовке к пожароопасному периоду необходимо провести проверку исправности противопожарного инвентаря согласно утверждённым нормам наличия средств предупреждения и тушения лесных пожаров при использовании лесов.</w:t>
      </w:r>
      <w:r>
        <w:rPr>
          <w:rFonts w:ascii="Times New Roman" w:hAnsi="Times New Roman" w:cs="Times New Roman"/>
          <w:sz w:val="28"/>
          <w:szCs w:val="28"/>
        </w:rPr>
      </w:r>
    </w:p>
    <w:p>
      <w:pPr>
        <w:pStyle w:val="1142"/>
        <w:ind w:left="0" w:firstLine="708"/>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Указанный инвентарь необходимо содержать в исправном состоянии и постоянной готовности, обеспечивающей возможность их немедленного использования.</w:t>
      </w:r>
      <w:r>
        <w:rPr>
          <w:rFonts w:ascii="Times New Roman" w:hAnsi="Times New Roman" w:cs="Times New Roman"/>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При строительстве, </w:t>
      </w:r>
      <w:r>
        <w:rPr>
          <w:sz w:val="28"/>
          <w:szCs w:val="28"/>
        </w:rPr>
        <w:t xml:space="preserve">реконструкции и эксплуатации ЛЭП, а также при содержании проложенных вдоль них просек обеспечиваются рубка лесных насаждений, складирование и уборка заготовленной древесины, порубочных остатков. Сжигание порубочных остатков в охранных зонах ВЛ запрещается.</w:t>
      </w:r>
      <w:r>
        <w:rPr>
          <w:sz w:val="28"/>
          <w:szCs w:val="28"/>
        </w:rPr>
      </w:r>
    </w:p>
    <w:p>
      <w:pPr>
        <w:pStyle w:val="1180"/>
        <w:numPr>
          <w:ilvl w:val="2"/>
          <w:numId w:val="15"/>
        </w:numPr>
        <w:ind w:left="0" w:firstLine="708"/>
        <w:jc w:val="both"/>
        <w:spacing w:before="0" w:beforeAutospacing="0" w:after="0" w:afterAutospacing="0"/>
        <w:tabs>
          <w:tab w:val="left" w:pos="1701" w:leader="none"/>
        </w:tabs>
        <w:rPr>
          <w:sz w:val="28"/>
          <w:szCs w:val="28"/>
        </w:rPr>
      </w:pPr>
      <w:r>
        <w:rPr>
          <w:sz w:val="28"/>
          <w:szCs w:val="28"/>
        </w:rPr>
        <w:t xml:space="preserve">При проведении расчистки трасс ВЛ от ДКР и расширении просек следует производить очистку мест рубок от порубочных остатков.</w:t>
      </w:r>
      <w:r>
        <w:rPr>
          <w:sz w:val="28"/>
          <w:szCs w:val="28"/>
        </w:rPr>
      </w:r>
    </w:p>
    <w:p>
      <w:pPr>
        <w:pStyle w:val="1180"/>
        <w:numPr>
          <w:ilvl w:val="2"/>
          <w:numId w:val="15"/>
        </w:numPr>
        <w:ind w:left="0" w:firstLine="708"/>
        <w:jc w:val="both"/>
        <w:spacing w:before="0" w:beforeAutospacing="0" w:after="0" w:afterAutospacing="0"/>
        <w:tabs>
          <w:tab w:val="left" w:pos="1701" w:leader="none"/>
        </w:tabs>
        <w:rPr>
          <w:sz w:val="28"/>
          <w:szCs w:val="28"/>
        </w:rPr>
      </w:pPr>
      <w:r>
        <w:rPr>
          <w:sz w:val="28"/>
          <w:szCs w:val="28"/>
        </w:rPr>
        <w:t xml:space="preserve">При проведении очистки мест рубок следует осуществлять:</w:t>
      </w:r>
      <w:r>
        <w:rPr>
          <w:sz w:val="28"/>
          <w:szCs w:val="28"/>
        </w:rPr>
      </w:r>
    </w:p>
    <w:p>
      <w:pPr>
        <w:pStyle w:val="1180"/>
        <w:jc w:val="both"/>
        <w:spacing w:before="0" w:beforeAutospacing="0" w:after="0" w:afterAutospacing="0"/>
        <w:tabs>
          <w:tab w:val="left" w:pos="1701" w:leader="none"/>
        </w:tabs>
        <w:rPr>
          <w:sz w:val="28"/>
          <w:szCs w:val="28"/>
        </w:rPr>
      </w:pPr>
      <w:r>
        <w:rPr>
          <w:sz w:val="28"/>
          <w:szCs w:val="28"/>
        </w:rPr>
        <w:t xml:space="preserve">- весеннюю доочистку в случае рубки в зимнее время;</w:t>
      </w:r>
      <w:r>
        <w:rPr>
          <w:sz w:val="28"/>
          <w:szCs w:val="28"/>
        </w:rPr>
      </w:r>
    </w:p>
    <w:p>
      <w:pPr>
        <w:pStyle w:val="1180"/>
        <w:jc w:val="both"/>
        <w:spacing w:before="0" w:beforeAutospacing="0" w:after="0" w:afterAutospacing="0"/>
        <w:tabs>
          <w:tab w:val="left" w:pos="1701" w:leader="none"/>
        </w:tabs>
        <w:rPr>
          <w:sz w:val="28"/>
          <w:szCs w:val="28"/>
        </w:rPr>
      </w:pPr>
      <w:r>
        <w:rPr>
          <w:sz w:val="28"/>
          <w:szCs w:val="28"/>
        </w:rPr>
        <w:t xml:space="preserve">- укладку порубочных </w:t>
      </w:r>
      <w:r>
        <w:rPr>
          <w:sz w:val="28"/>
          <w:szCs w:val="28"/>
        </w:rPr>
        <w:t xml:space="preserve">остатков длиной не более 2 метров в кучи или валы шириной не более 3 метров с уплотнением их к земле для перегнивания, сжигания или разбрасывания в измельченном виде по площади места рубки на расстоянии не менее 10 метров от прилегающих лесных насаждений; </w:t>
      </w:r>
      <w:r>
        <w:rPr>
          <w:sz w:val="28"/>
          <w:szCs w:val="28"/>
        </w:rPr>
      </w:r>
    </w:p>
    <w:p>
      <w:pPr>
        <w:pStyle w:val="1180"/>
        <w:jc w:val="both"/>
        <w:spacing w:before="0" w:beforeAutospacing="0" w:after="0" w:afterAutospacing="0"/>
        <w:tabs>
          <w:tab w:val="left" w:pos="1701" w:leader="none"/>
        </w:tabs>
        <w:rPr>
          <w:sz w:val="28"/>
          <w:szCs w:val="28"/>
        </w:rPr>
      </w:pPr>
      <w:r>
        <w:rPr>
          <w:sz w:val="28"/>
          <w:szCs w:val="28"/>
        </w:rPr>
        <w:t xml:space="preserve">- расстояние между валами должно быть не менее 20 метров, если оно не обусловлено технологией работ.</w:t>
      </w:r>
      <w:r>
        <w:rPr>
          <w:sz w:val="28"/>
          <w:szCs w:val="28"/>
        </w:rPr>
      </w:r>
    </w:p>
    <w:p>
      <w:pPr>
        <w:pStyle w:val="1180"/>
        <w:numPr>
          <w:ilvl w:val="2"/>
          <w:numId w:val="15"/>
        </w:numPr>
        <w:ind w:left="0" w:firstLine="708"/>
        <w:jc w:val="both"/>
        <w:spacing w:before="0" w:beforeAutospacing="0" w:after="0" w:afterAutospacing="0"/>
        <w:tabs>
          <w:tab w:val="left" w:pos="1701" w:leader="none"/>
        </w:tabs>
        <w:rPr>
          <w:sz w:val="28"/>
          <w:szCs w:val="28"/>
        </w:rPr>
      </w:pPr>
      <w:r>
        <w:rPr>
          <w:sz w:val="28"/>
          <w:szCs w:val="28"/>
        </w:rPr>
        <w:t xml:space="preserve">Сжигание порубочных остатков при огневом способе очистки должно производиться за пределами охранных зон ВЛ и завершаться до начала </w:t>
      </w:r>
      <w:r>
        <w:rPr>
          <w:sz w:val="28"/>
          <w:szCs w:val="28"/>
        </w:rPr>
        <w:t xml:space="preserve">пожароопасного сезона. Сжигание порубочных остатков, образовавшихся в результате расчистки трасс ВЛ от ДКР и расширения просек в летний период и собранных при весенней доочистке мест рубок, должно производиться осенью после окончания пожароопасного сезона.</w:t>
      </w:r>
      <w:r>
        <w:rPr>
          <w:sz w:val="28"/>
          <w:szCs w:val="28"/>
        </w:rPr>
      </w:r>
    </w:p>
    <w:p>
      <w:pPr>
        <w:pStyle w:val="1180"/>
        <w:numPr>
          <w:ilvl w:val="2"/>
          <w:numId w:val="15"/>
        </w:numPr>
        <w:ind w:left="0" w:firstLine="708"/>
        <w:jc w:val="both"/>
        <w:spacing w:before="0" w:beforeAutospacing="0" w:after="0" w:afterAutospacing="0"/>
        <w:tabs>
          <w:tab w:val="left" w:pos="1701" w:leader="none"/>
        </w:tabs>
        <w:rPr>
          <w:sz w:val="28"/>
          <w:szCs w:val="28"/>
        </w:rPr>
      </w:pPr>
      <w:r>
        <w:rPr>
          <w:sz w:val="28"/>
          <w:szCs w:val="28"/>
        </w:rPr>
        <w:t xml:space="preserve">При сжигании порубочных остатков должно обеспечиваться их полное сгорание. Сжигание порубочных остатков сплошным палом запрещается.</w:t>
      </w:r>
      <w:r>
        <w:rPr>
          <w:sz w:val="28"/>
          <w:szCs w:val="28"/>
        </w:rPr>
      </w:r>
    </w:p>
    <w:p>
      <w:pPr>
        <w:pStyle w:val="1180"/>
        <w:numPr>
          <w:ilvl w:val="2"/>
          <w:numId w:val="15"/>
        </w:numPr>
        <w:ind w:left="0" w:firstLine="708"/>
        <w:jc w:val="both"/>
        <w:spacing w:before="0" w:beforeAutospacing="0" w:after="0" w:afterAutospacing="0"/>
        <w:tabs>
          <w:tab w:val="left" w:pos="1701" w:leader="none"/>
        </w:tabs>
        <w:rPr>
          <w:sz w:val="28"/>
          <w:szCs w:val="28"/>
        </w:rPr>
      </w:pPr>
      <w:r>
        <w:rPr>
          <w:sz w:val="28"/>
          <w:szCs w:val="28"/>
        </w:rPr>
        <w:t xml:space="preserve">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r>
        <w:rPr>
          <w:sz w:val="28"/>
          <w:szCs w:val="28"/>
        </w:rPr>
      </w:r>
    </w:p>
    <w:p>
      <w:pPr>
        <w:pStyle w:val="1180"/>
        <w:numPr>
          <w:ilvl w:val="2"/>
          <w:numId w:val="15"/>
        </w:numPr>
        <w:ind w:left="0" w:firstLine="708"/>
        <w:jc w:val="both"/>
        <w:spacing w:before="0" w:beforeAutospacing="0" w:after="0" w:afterAutospacing="0"/>
        <w:tabs>
          <w:tab w:val="left" w:pos="1701" w:leader="none"/>
        </w:tabs>
        <w:rPr>
          <w:sz w:val="28"/>
          <w:szCs w:val="28"/>
        </w:rPr>
      </w:pPr>
      <w:r>
        <w:rPr>
          <w:sz w:val="28"/>
          <w:szCs w:val="28"/>
        </w:rPr>
        <w:t xml:space="preserve">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r>
        <w:rPr>
          <w:sz w:val="28"/>
          <w:szCs w:val="28"/>
        </w:rPr>
      </w:r>
    </w:p>
    <w:p>
      <w:pPr>
        <w:pStyle w:val="1180"/>
        <w:numPr>
          <w:ilvl w:val="2"/>
          <w:numId w:val="15"/>
        </w:numPr>
        <w:ind w:left="0" w:firstLine="708"/>
        <w:jc w:val="both"/>
        <w:spacing w:before="0" w:beforeAutospacing="0" w:after="0" w:afterAutospacing="0"/>
        <w:tabs>
          <w:tab w:val="left" w:pos="1701" w:leader="none"/>
        </w:tabs>
        <w:rPr>
          <w:sz w:val="28"/>
          <w:szCs w:val="28"/>
        </w:rPr>
      </w:pPr>
      <w:r>
        <w:rPr>
          <w:sz w:val="28"/>
          <w:szCs w:val="28"/>
        </w:rPr>
        <w:t xml:space="preserve">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w:t>
      </w:r>
      <w:r>
        <w:rPr>
          <w:sz w:val="28"/>
          <w:szCs w:val="28"/>
        </w:rPr>
        <w:t xml:space="preserve">отделяются противопожарной минерализованной полосой шириной не менее 1,4 метра. </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Складирование заготовленной древесины должно производиться только на открытых местах на расстоянии:</w:t>
      </w:r>
      <w:r>
        <w:rPr>
          <w:sz w:val="28"/>
          <w:szCs w:val="28"/>
        </w:rPr>
      </w:r>
    </w:p>
    <w:p>
      <w:pPr>
        <w:pStyle w:val="1180"/>
        <w:numPr>
          <w:ilvl w:val="2"/>
          <w:numId w:val="104"/>
        </w:numPr>
        <w:ind w:left="0" w:firstLine="709"/>
        <w:jc w:val="both"/>
        <w:spacing w:before="0" w:beforeAutospacing="0" w:after="0" w:afterAutospacing="0"/>
        <w:tabs>
          <w:tab w:val="left" w:pos="1701" w:leader="none"/>
        </w:tabs>
        <w:rPr>
          <w:sz w:val="28"/>
          <w:szCs w:val="28"/>
        </w:rPr>
      </w:pPr>
      <w:r>
        <w:rPr>
          <w:sz w:val="28"/>
          <w:szCs w:val="28"/>
        </w:rPr>
        <w:t xml:space="preserve"> 20 метров от прилегающего лиственного леса.</w:t>
      </w:r>
      <w:r>
        <w:rPr>
          <w:sz w:val="28"/>
          <w:szCs w:val="28"/>
        </w:rPr>
      </w:r>
    </w:p>
    <w:p>
      <w:pPr>
        <w:pStyle w:val="1180"/>
        <w:numPr>
          <w:ilvl w:val="3"/>
          <w:numId w:val="116"/>
        </w:numPr>
        <w:ind w:left="0" w:firstLine="709"/>
        <w:jc w:val="both"/>
        <w:spacing w:before="0" w:beforeAutospacing="0" w:after="0" w:afterAutospacing="0"/>
        <w:tabs>
          <w:tab w:val="left" w:pos="1701" w:leader="none"/>
        </w:tabs>
        <w:rPr>
          <w:sz w:val="28"/>
          <w:szCs w:val="28"/>
        </w:rPr>
      </w:pPr>
      <w:r>
        <w:rPr>
          <w:sz w:val="28"/>
          <w:szCs w:val="28"/>
        </w:rPr>
        <w:t xml:space="preserve"> 40 метров от прилегающего хвойного и смешанного лесов.</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Места складирования и противо</w:t>
      </w:r>
      <w:r>
        <w:rPr>
          <w:sz w:val="28"/>
          <w:szCs w:val="28"/>
        </w:rPr>
        <w:t xml:space="preserve">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5 - 10 метров одна от другой.</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Допускается с</w:t>
      </w:r>
      <w:r>
        <w:rPr>
          <w:sz w:val="28"/>
          <w:szCs w:val="28"/>
        </w:rPr>
        <w:t xml:space="preserve">кладирование вырубленной древесины в границах просеки при соблюдении требований пунктов 6.8.15 и 6.8.16, если выполнение требований пункта 6.8.18 при складировании невозможно ввиду отсутствия близлежащих открытых пространств или достаточной ширины просеки.</w:t>
      </w:r>
      <w:r>
        <w:rPr>
          <w:sz w:val="28"/>
          <w:szCs w:val="28"/>
        </w:rPr>
      </w:r>
    </w:p>
    <w:p>
      <w:pPr>
        <w:pStyle w:val="1180"/>
        <w:numPr>
          <w:ilvl w:val="2"/>
          <w:numId w:val="15"/>
        </w:numPr>
        <w:ind w:left="0" w:firstLine="709"/>
        <w:jc w:val="both"/>
        <w:spacing w:before="0" w:beforeAutospacing="0" w:after="0" w:afterAutospacing="0"/>
        <w:tabs>
          <w:tab w:val="left" w:pos="1701" w:leader="none"/>
        </w:tabs>
        <w:rPr>
          <w:sz w:val="28"/>
          <w:szCs w:val="28"/>
        </w:rPr>
      </w:pPr>
      <w:r>
        <w:rPr>
          <w:sz w:val="28"/>
          <w:szCs w:val="28"/>
        </w:rPr>
        <w:t xml:space="preserve">Запрещается прокладка и эксплуатация ВЛ (в том числе временных и проложенных кабелем) над горючими кровлями, навесами, а также открытыми складами горючих веществ, материалов и изделий.</w:t>
      </w:r>
      <w:r>
        <w:rPr>
          <w:sz w:val="28"/>
          <w:szCs w:val="28"/>
        </w:rPr>
      </w:r>
    </w:p>
    <w:p>
      <w:pPr>
        <w:pStyle w:val="1180"/>
        <w:jc w:val="both"/>
        <w:spacing w:before="0" w:beforeAutospacing="0" w:after="0" w:afterAutospacing="0"/>
        <w:tabs>
          <w:tab w:val="left" w:pos="567" w:leader="none"/>
          <w:tab w:val="left" w:pos="1560" w:leader="none"/>
        </w:tabs>
        <w:rPr>
          <w:sz w:val="28"/>
          <w:szCs w:val="28"/>
        </w:rPr>
      </w:pPr>
      <w:r>
        <w:rPr>
          <w:sz w:val="28"/>
          <w:szCs w:val="28"/>
        </w:rPr>
      </w:r>
      <w:r>
        <w:rPr>
          <w:sz w:val="28"/>
          <w:szCs w:val="28"/>
        </w:rPr>
      </w:r>
    </w:p>
    <w:p>
      <w:pPr>
        <w:pStyle w:val="1180"/>
        <w:numPr>
          <w:ilvl w:val="0"/>
          <w:numId w:val="105"/>
        </w:numPr>
        <w:ind w:left="0" w:firstLine="709"/>
        <w:jc w:val="both"/>
        <w:spacing w:before="0" w:beforeAutospacing="0" w:after="0" w:afterAutospacing="0"/>
        <w:tabs>
          <w:tab w:val="left" w:pos="1418" w:leader="none"/>
        </w:tabs>
        <w:rPr>
          <w:b/>
          <w:sz w:val="28"/>
          <w:szCs w:val="28"/>
        </w:rPr>
        <w:outlineLvl w:val="1"/>
      </w:pPr>
      <w:r/>
      <w:bookmarkStart w:id="73" w:name="РИСЭ_5_9"/>
      <w:r/>
      <w:bookmarkStart w:id="74" w:name="_Toc112328568"/>
      <w:r/>
      <w:bookmarkStart w:id="75" w:name="_Toc124499104"/>
      <w:r>
        <w:rPr>
          <w:b/>
          <w:sz w:val="28"/>
          <w:szCs w:val="28"/>
        </w:rPr>
        <w:t xml:space="preserve">Резервные источники системы электроснабжения</w:t>
      </w:r>
      <w:bookmarkEnd w:id="73"/>
      <w:r/>
      <w:bookmarkEnd w:id="74"/>
      <w:r/>
      <w:bookmarkEnd w:id="75"/>
      <w:r/>
      <w:r>
        <w:rPr>
          <w:b/>
          <w:sz w:val="28"/>
          <w:szCs w:val="28"/>
        </w:rPr>
      </w:r>
    </w:p>
    <w:p>
      <w:pPr>
        <w:pStyle w:val="1180"/>
        <w:ind w:left="1418"/>
        <w:jc w:val="both"/>
        <w:spacing w:before="0" w:beforeAutospacing="0" w:after="0" w:afterAutospacing="0"/>
        <w:rPr>
          <w:b/>
          <w:sz w:val="28"/>
          <w:szCs w:val="28"/>
        </w:rPr>
      </w:pPr>
      <w:r>
        <w:rPr>
          <w:b/>
          <w:sz w:val="28"/>
          <w:szCs w:val="28"/>
        </w:rPr>
      </w:r>
      <w:r>
        <w:rPr>
          <w:b/>
          <w:sz w:val="28"/>
          <w:szCs w:val="28"/>
        </w:rPr>
      </w:r>
    </w:p>
    <w:p>
      <w:pPr>
        <w:pStyle w:val="1180"/>
        <w:numPr>
          <w:ilvl w:val="2"/>
          <w:numId w:val="12"/>
        </w:numPr>
        <w:ind w:left="0" w:firstLine="709"/>
        <w:jc w:val="both"/>
        <w:spacing w:before="0" w:beforeAutospacing="0" w:after="0" w:afterAutospacing="0"/>
        <w:tabs>
          <w:tab w:val="left" w:pos="1701" w:leader="none"/>
        </w:tabs>
        <w:rPr>
          <w:sz w:val="28"/>
          <w:szCs w:val="28"/>
        </w:rPr>
      </w:pPr>
      <w:r>
        <w:rPr>
          <w:sz w:val="28"/>
          <w:szCs w:val="28"/>
        </w:rPr>
        <w:t xml:space="preserve">При установке РИСЭ должны соблюдаться противопожарные разрывы до зданий и сооружений, предусмотренные действующими нормативными документами по пожарной безопасности.</w:t>
      </w:r>
      <w:r>
        <w:rPr>
          <w:sz w:val="28"/>
          <w:szCs w:val="28"/>
        </w:rPr>
      </w:r>
    </w:p>
    <w:p>
      <w:pPr>
        <w:pStyle w:val="1180"/>
        <w:numPr>
          <w:ilvl w:val="2"/>
          <w:numId w:val="12"/>
        </w:numPr>
        <w:ind w:left="0" w:firstLine="709"/>
        <w:jc w:val="both"/>
        <w:spacing w:before="0" w:beforeAutospacing="0" w:after="0" w:afterAutospacing="0"/>
        <w:tabs>
          <w:tab w:val="left" w:pos="1701" w:leader="none"/>
        </w:tabs>
        <w:rPr>
          <w:sz w:val="28"/>
          <w:szCs w:val="28"/>
        </w:rPr>
      </w:pPr>
      <w:r>
        <w:rPr>
          <w:sz w:val="28"/>
          <w:szCs w:val="28"/>
        </w:rPr>
        <w:t xml:space="preserve">При эксплуатации агрегатов</w:t>
      </w:r>
      <w:r>
        <w:rPr>
          <w:caps/>
          <w:sz w:val="28"/>
          <w:szCs w:val="28"/>
        </w:rPr>
        <w:t xml:space="preserve"> </w:t>
      </w:r>
      <w:r>
        <w:rPr>
          <w:sz w:val="28"/>
          <w:szCs w:val="28"/>
        </w:rPr>
        <w:t xml:space="preserve">запрещается:</w:t>
      </w:r>
      <w:r>
        <w:rPr>
          <w:sz w:val="28"/>
          <w:szCs w:val="28"/>
        </w:rPr>
      </w:r>
    </w:p>
    <w:p>
      <w:pPr>
        <w:pStyle w:val="1180"/>
        <w:numPr>
          <w:ilvl w:val="0"/>
          <w:numId w:val="64"/>
        </w:numPr>
        <w:ind w:left="0" w:firstLine="709"/>
        <w:jc w:val="both"/>
        <w:spacing w:before="0" w:beforeAutospacing="0" w:after="0" w:afterAutospacing="0"/>
        <w:tabs>
          <w:tab w:val="left" w:pos="1701" w:leader="none"/>
        </w:tabs>
        <w:rPr>
          <w:sz w:val="28"/>
          <w:szCs w:val="28"/>
        </w:rPr>
      </w:pPr>
      <w:r>
        <w:rPr>
          <w:sz w:val="28"/>
          <w:szCs w:val="28"/>
        </w:rPr>
        <w:t xml:space="preserve">Вливать в цилиндры и клапаны легковоспламеняющиеся жидкости для облегчения пуска двигателя.</w:t>
      </w:r>
      <w:r>
        <w:rPr>
          <w:sz w:val="28"/>
          <w:szCs w:val="28"/>
        </w:rPr>
      </w:r>
    </w:p>
    <w:p>
      <w:pPr>
        <w:pStyle w:val="1180"/>
        <w:numPr>
          <w:ilvl w:val="0"/>
          <w:numId w:val="64"/>
        </w:numPr>
        <w:ind w:left="0" w:firstLine="709"/>
        <w:jc w:val="both"/>
        <w:spacing w:before="0" w:beforeAutospacing="0" w:after="0" w:afterAutospacing="0"/>
        <w:tabs>
          <w:tab w:val="left" w:pos="1701" w:leader="none"/>
        </w:tabs>
        <w:rPr>
          <w:sz w:val="28"/>
          <w:szCs w:val="28"/>
        </w:rPr>
      </w:pPr>
      <w:r>
        <w:rPr>
          <w:sz w:val="28"/>
          <w:szCs w:val="28"/>
        </w:rPr>
        <w:t xml:space="preserve">Заправлять топливный бак во время работы агрегата, а также при неостывшем двигателе.</w:t>
      </w:r>
      <w:r>
        <w:rPr>
          <w:sz w:val="28"/>
          <w:szCs w:val="28"/>
        </w:rPr>
      </w:r>
    </w:p>
    <w:p>
      <w:pPr>
        <w:pStyle w:val="1180"/>
        <w:numPr>
          <w:ilvl w:val="0"/>
          <w:numId w:val="64"/>
        </w:numPr>
        <w:ind w:left="0" w:firstLine="709"/>
        <w:jc w:val="both"/>
        <w:spacing w:before="0" w:beforeAutospacing="0" w:after="0" w:afterAutospacing="0"/>
        <w:tabs>
          <w:tab w:val="left" w:pos="1701" w:leader="none"/>
        </w:tabs>
        <w:rPr>
          <w:sz w:val="28"/>
          <w:szCs w:val="28"/>
        </w:rPr>
      </w:pPr>
      <w:r>
        <w:rPr>
          <w:sz w:val="28"/>
          <w:szCs w:val="28"/>
        </w:rPr>
        <w:t xml:space="preserve">Допускать попадание горючих материалов и веществ, ГСМ на поверхности нагретых деталей (глушителя, головку цилиндра и т.п.).</w:t>
      </w:r>
      <w:r>
        <w:rPr>
          <w:sz w:val="28"/>
          <w:szCs w:val="28"/>
        </w:rPr>
      </w:r>
    </w:p>
    <w:p>
      <w:pPr>
        <w:pStyle w:val="1180"/>
        <w:numPr>
          <w:ilvl w:val="0"/>
          <w:numId w:val="64"/>
        </w:numPr>
        <w:ind w:left="0" w:firstLine="709"/>
        <w:jc w:val="both"/>
        <w:spacing w:before="0" w:beforeAutospacing="0" w:after="0" w:afterAutospacing="0"/>
        <w:tabs>
          <w:tab w:val="left" w:pos="1701" w:leader="none"/>
        </w:tabs>
        <w:rPr>
          <w:sz w:val="28"/>
          <w:szCs w:val="28"/>
        </w:rPr>
      </w:pPr>
      <w:r>
        <w:rPr>
          <w:sz w:val="28"/>
          <w:szCs w:val="28"/>
        </w:rPr>
        <w:t xml:space="preserve">Разогревать трубопроводы, арматуру и оборудование с применением открытого огня (паяльных ламп, факелов и т.п.).</w:t>
      </w:r>
      <w:r>
        <w:rPr>
          <w:sz w:val="28"/>
          <w:szCs w:val="28"/>
        </w:rPr>
      </w:r>
    </w:p>
    <w:p>
      <w:pPr>
        <w:pStyle w:val="1180"/>
        <w:numPr>
          <w:ilvl w:val="0"/>
          <w:numId w:val="64"/>
        </w:numPr>
        <w:ind w:left="0" w:firstLine="709"/>
        <w:jc w:val="both"/>
        <w:spacing w:before="0" w:beforeAutospacing="0" w:after="0" w:afterAutospacing="0"/>
        <w:tabs>
          <w:tab w:val="left" w:pos="1701" w:leader="none"/>
        </w:tabs>
        <w:rPr>
          <w:sz w:val="28"/>
          <w:szCs w:val="28"/>
        </w:rPr>
      </w:pPr>
      <w:r>
        <w:rPr>
          <w:sz w:val="28"/>
          <w:szCs w:val="28"/>
        </w:rPr>
        <w:t xml:space="preserve">Сушить спецодежду на нагретых частях оборудования.</w:t>
      </w:r>
      <w:r>
        <w:rPr>
          <w:sz w:val="28"/>
          <w:szCs w:val="28"/>
        </w:rPr>
      </w:r>
    </w:p>
    <w:p>
      <w:pPr>
        <w:pStyle w:val="1180"/>
        <w:numPr>
          <w:ilvl w:val="0"/>
          <w:numId w:val="64"/>
        </w:numPr>
        <w:ind w:left="0" w:firstLine="709"/>
        <w:jc w:val="both"/>
        <w:spacing w:before="0" w:beforeAutospacing="0" w:after="0" w:afterAutospacing="0"/>
        <w:tabs>
          <w:tab w:val="left" w:pos="1701" w:leader="none"/>
        </w:tabs>
        <w:rPr>
          <w:sz w:val="28"/>
          <w:szCs w:val="28"/>
        </w:rPr>
      </w:pPr>
      <w:r>
        <w:rPr>
          <w:sz w:val="28"/>
          <w:szCs w:val="28"/>
        </w:rPr>
        <w:t xml:space="preserve">Использовать для работы установок топливо, не предусмотренное проектом и техническими условиями на РИСЭ.</w:t>
      </w:r>
      <w:r>
        <w:rPr>
          <w:sz w:val="28"/>
          <w:szCs w:val="28"/>
        </w:rPr>
      </w:r>
    </w:p>
    <w:p>
      <w:pPr>
        <w:pStyle w:val="1180"/>
        <w:numPr>
          <w:ilvl w:val="2"/>
          <w:numId w:val="12"/>
        </w:numPr>
        <w:ind w:left="0" w:firstLine="709"/>
        <w:jc w:val="both"/>
        <w:spacing w:before="0" w:beforeAutospacing="0" w:after="0" w:afterAutospacing="0"/>
        <w:tabs>
          <w:tab w:val="left" w:pos="1701" w:leader="none"/>
        </w:tabs>
        <w:rPr>
          <w:sz w:val="28"/>
          <w:szCs w:val="28"/>
        </w:rPr>
      </w:pPr>
      <w:r>
        <w:rPr>
          <w:sz w:val="28"/>
          <w:szCs w:val="28"/>
        </w:rPr>
        <w:t xml:space="preserve">Особое внимание должно уделяться плотности соединений системы питания и смазки агрегата. В необходимых случаях должны немедленно приниматься меры к устранению нарушения их уплотнения.</w:t>
      </w:r>
      <w:r>
        <w:rPr>
          <w:sz w:val="28"/>
          <w:szCs w:val="28"/>
        </w:rPr>
      </w:r>
    </w:p>
    <w:p>
      <w:pPr>
        <w:pStyle w:val="1180"/>
        <w:numPr>
          <w:ilvl w:val="2"/>
          <w:numId w:val="12"/>
        </w:numPr>
        <w:ind w:left="0" w:firstLine="709"/>
        <w:jc w:val="both"/>
        <w:spacing w:before="0" w:beforeAutospacing="0" w:after="0" w:afterAutospacing="0"/>
        <w:tabs>
          <w:tab w:val="left" w:pos="1701" w:leader="none"/>
        </w:tabs>
        <w:rPr>
          <w:sz w:val="28"/>
          <w:szCs w:val="28"/>
        </w:rPr>
      </w:pPr>
      <w:r>
        <w:rPr>
          <w:sz w:val="28"/>
          <w:szCs w:val="28"/>
        </w:rPr>
        <w:t xml:space="preserve">Емкости с топливом должны быть оборудованы запорной арматурой и герметичными крышками.</w:t>
      </w:r>
      <w:r>
        <w:rPr>
          <w:sz w:val="28"/>
          <w:szCs w:val="28"/>
        </w:rPr>
      </w:r>
    </w:p>
    <w:p>
      <w:pPr>
        <w:pStyle w:val="1180"/>
        <w:numPr>
          <w:ilvl w:val="2"/>
          <w:numId w:val="12"/>
        </w:numPr>
        <w:ind w:left="0" w:firstLine="709"/>
        <w:jc w:val="both"/>
        <w:spacing w:before="0" w:beforeAutospacing="0" w:after="0" w:afterAutospacing="0"/>
        <w:tabs>
          <w:tab w:val="left" w:pos="1701" w:leader="none"/>
        </w:tabs>
        <w:rPr>
          <w:sz w:val="28"/>
          <w:szCs w:val="28"/>
        </w:rPr>
      </w:pPr>
      <w:r>
        <w:rPr>
          <w:sz w:val="28"/>
          <w:szCs w:val="28"/>
        </w:rPr>
        <w:t xml:space="preserve">РИСЭ должны быть оснащены автоматическими системами пожарной сигнализации или автоматическими установками пожаротушения в соответствии с требованиями нормативных документов по пожарной безопасности.</w:t>
      </w:r>
      <w:r>
        <w:rPr>
          <w:sz w:val="28"/>
          <w:szCs w:val="28"/>
        </w:rPr>
      </w:r>
    </w:p>
    <w:p>
      <w:pPr>
        <w:pStyle w:val="1180"/>
        <w:numPr>
          <w:ilvl w:val="2"/>
          <w:numId w:val="12"/>
        </w:numPr>
        <w:ind w:left="0" w:firstLine="709"/>
        <w:jc w:val="both"/>
        <w:spacing w:before="0" w:beforeAutospacing="0" w:after="0" w:afterAutospacing="0"/>
        <w:tabs>
          <w:tab w:val="left" w:pos="1701" w:leader="none"/>
        </w:tabs>
        <w:rPr>
          <w:sz w:val="28"/>
          <w:szCs w:val="28"/>
        </w:rPr>
      </w:pPr>
      <w:r>
        <w:rPr>
          <w:sz w:val="28"/>
          <w:szCs w:val="28"/>
        </w:rPr>
        <w:t xml:space="preserve">Контроль состояния, работоспособности и исправности автоматических (автономных) установ</w:t>
      </w:r>
      <w:r>
        <w:rPr>
          <w:sz w:val="28"/>
          <w:szCs w:val="28"/>
        </w:rPr>
        <w:t xml:space="preserve">ок пожаротушения, применяемых для защиты РИСЭ контейнерного исполнения (устанавливаются вне зданий), должен осуществляться через приемно-контрольные приборы, сигнал от которых должен выводиться в помещение с круглосуточным присутствием дежурного персонала.</w:t>
      </w:r>
      <w:r>
        <w:rPr>
          <w:sz w:val="28"/>
          <w:szCs w:val="28"/>
        </w:rPr>
      </w:r>
    </w:p>
    <w:p>
      <w:pPr>
        <w:pStyle w:val="1180"/>
        <w:jc w:val="both"/>
        <w:spacing w:before="0" w:beforeAutospacing="0" w:after="0" w:afterAutospacing="0"/>
        <w:rPr>
          <w:sz w:val="28"/>
          <w:szCs w:val="28"/>
        </w:rPr>
      </w:pPr>
      <w:r>
        <w:rPr>
          <w:sz w:val="28"/>
          <w:szCs w:val="28"/>
        </w:rPr>
      </w:r>
      <w:r>
        <w:rPr>
          <w:sz w:val="28"/>
          <w:szCs w:val="28"/>
        </w:rPr>
      </w:r>
    </w:p>
    <w:p>
      <w:pPr>
        <w:pStyle w:val="1180"/>
        <w:numPr>
          <w:ilvl w:val="1"/>
          <w:numId w:val="51"/>
        </w:numPr>
        <w:ind w:left="0" w:firstLine="709"/>
        <w:jc w:val="both"/>
        <w:spacing w:before="0" w:beforeAutospacing="0" w:after="0" w:afterAutospacing="0"/>
        <w:tabs>
          <w:tab w:val="left" w:pos="1418" w:leader="none"/>
        </w:tabs>
        <w:rPr>
          <w:b/>
          <w:sz w:val="28"/>
          <w:szCs w:val="28"/>
        </w:rPr>
        <w:outlineLvl w:val="1"/>
      </w:pPr>
      <w:r/>
      <w:bookmarkStart w:id="76" w:name="Сооруж_уст_ки_для_топлива_масла_5_10"/>
      <w:r/>
      <w:bookmarkStart w:id="77" w:name="_Toc112328569"/>
      <w:r/>
      <w:bookmarkStart w:id="78" w:name="_Toc124499105"/>
      <w:r>
        <w:rPr>
          <w:b/>
          <w:color w:val="000000"/>
          <w:sz w:val="28"/>
          <w:szCs w:val="28"/>
        </w:rPr>
        <w:t xml:space="preserve">Сооружения и установки для хранения, транспортировки и технологических операций с топливом, маслами и другими нефтепродуктами</w:t>
      </w:r>
      <w:bookmarkEnd w:id="76"/>
      <w:r/>
      <w:bookmarkEnd w:id="77"/>
      <w:r/>
      <w:bookmarkEnd w:id="78"/>
      <w:r/>
      <w:r>
        <w:rPr>
          <w:b/>
          <w:sz w:val="28"/>
          <w:szCs w:val="28"/>
        </w:rPr>
      </w:r>
    </w:p>
    <w:p>
      <w:pPr>
        <w:pStyle w:val="1180"/>
        <w:ind w:left="709"/>
        <w:jc w:val="both"/>
        <w:spacing w:before="0" w:beforeAutospacing="0" w:after="0" w:afterAutospacing="0"/>
        <w:tabs>
          <w:tab w:val="left" w:pos="1418" w:leader="none"/>
        </w:tabs>
        <w:rPr>
          <w:b/>
          <w:sz w:val="28"/>
          <w:szCs w:val="28"/>
        </w:rPr>
        <w:outlineLvl w:val="1"/>
      </w:pPr>
      <w:r>
        <w:rPr>
          <w:b/>
          <w:sz w:val="28"/>
          <w:szCs w:val="28"/>
        </w:rPr>
      </w:r>
      <w:r>
        <w:rPr>
          <w:b/>
          <w:sz w:val="28"/>
          <w:szCs w:val="28"/>
        </w:rPr>
      </w:r>
    </w:p>
    <w:p>
      <w:pPr>
        <w:pStyle w:val="1250"/>
        <w:numPr>
          <w:ilvl w:val="2"/>
          <w:numId w:val="44"/>
        </w:numPr>
        <w:ind w:left="0" w:firstLine="709"/>
        <w:spacing w:after="0"/>
        <w:tabs>
          <w:tab w:val="left" w:pos="1701" w:leader="none"/>
        </w:tabs>
        <w:rPr>
          <w:sz w:val="28"/>
          <w:szCs w:val="28"/>
        </w:rPr>
      </w:pPr>
      <w:r>
        <w:rPr>
          <w:sz w:val="28"/>
          <w:szCs w:val="28"/>
        </w:rPr>
        <w:t xml:space="preserve">Территория склада с резервуарами дизельного или другого вида жидкого топлива (нефтепродуктов) должна быть ограждена продуваемой оградой из негорючих материалов высотой не менее 2 м, если склад находится вне территории ПО.</w:t>
      </w:r>
      <w:r>
        <w:rPr>
          <w:sz w:val="28"/>
          <w:szCs w:val="28"/>
        </w:rPr>
      </w:r>
    </w:p>
    <w:p>
      <w:pPr>
        <w:pStyle w:val="1250"/>
        <w:ind w:firstLine="709"/>
        <w:spacing w:after="0"/>
        <w:tabs>
          <w:tab w:val="left" w:pos="1701" w:leader="none"/>
        </w:tabs>
        <w:rPr>
          <w:sz w:val="28"/>
          <w:szCs w:val="28"/>
        </w:rPr>
      </w:pPr>
      <w:r>
        <w:rPr>
          <w:sz w:val="28"/>
          <w:szCs w:val="28"/>
        </w:rPr>
        <w:t xml:space="preserve">Размещение других производств или вспомогательных служб на территории склада не допускается.</w:t>
      </w:r>
      <w:r>
        <w:rPr>
          <w:sz w:val="28"/>
          <w:szCs w:val="28"/>
        </w:rPr>
      </w:r>
    </w:p>
    <w:p>
      <w:pPr>
        <w:pStyle w:val="1250"/>
        <w:numPr>
          <w:ilvl w:val="2"/>
          <w:numId w:val="44"/>
        </w:numPr>
        <w:ind w:left="0" w:firstLine="709"/>
        <w:spacing w:after="0"/>
        <w:tabs>
          <w:tab w:val="left" w:pos="1701" w:leader="none"/>
        </w:tabs>
        <w:rPr>
          <w:sz w:val="28"/>
          <w:szCs w:val="28"/>
        </w:rPr>
      </w:pPr>
      <w:r>
        <w:rPr>
          <w:sz w:val="28"/>
          <w:szCs w:val="28"/>
        </w:rPr>
        <w:t xml:space="preserve">Дороги на складе с резервуарами нефтепродуктов должны иметь освещение, соединяться с дорогами общего пользования, находиться в исправном состоянии, своевременно ремонтироваться, а в зимнее время очищаться от снега.</w:t>
      </w:r>
      <w:r>
        <w:rPr>
          <w:sz w:val="28"/>
          <w:szCs w:val="28"/>
        </w:rPr>
      </w:r>
    </w:p>
    <w:p>
      <w:pPr>
        <w:pStyle w:val="1250"/>
        <w:numPr>
          <w:ilvl w:val="2"/>
          <w:numId w:val="44"/>
        </w:numPr>
        <w:ind w:left="0" w:firstLine="709"/>
        <w:spacing w:after="0"/>
        <w:tabs>
          <w:tab w:val="left" w:pos="1701" w:leader="none"/>
        </w:tabs>
        <w:rPr>
          <w:sz w:val="28"/>
          <w:szCs w:val="28"/>
        </w:rPr>
      </w:pPr>
      <w:r>
        <w:rPr>
          <w:sz w:val="28"/>
          <w:szCs w:val="28"/>
        </w:rPr>
        <w:t xml:space="preserve">Территорию склада с нефтепродуктами необходимо регулярно очищать от сгораемых отходов.</w:t>
      </w:r>
      <w:r>
        <w:rPr>
          <w:sz w:val="28"/>
          <w:szCs w:val="28"/>
        </w:rPr>
      </w:r>
    </w:p>
    <w:p>
      <w:pPr>
        <w:pStyle w:val="1250"/>
        <w:ind w:firstLine="709"/>
        <w:spacing w:after="0"/>
        <w:tabs>
          <w:tab w:val="left" w:pos="1701" w:leader="none"/>
        </w:tabs>
        <w:rPr>
          <w:sz w:val="28"/>
          <w:szCs w:val="28"/>
        </w:rPr>
      </w:pPr>
      <w:r>
        <w:rPr>
          <w:sz w:val="28"/>
          <w:szCs w:val="28"/>
        </w:rPr>
        <w:t xml:space="preserve">Периодически необходимо скашивать траву (при достижении высоты 0,2 м и выше), в том числе на откосах и обвалованиях резервуаров, и вывозить ее за пределы склада.</w:t>
      </w:r>
      <w:r>
        <w:rPr>
          <w:sz w:val="28"/>
          <w:szCs w:val="28"/>
        </w:rPr>
      </w:r>
    </w:p>
    <w:p>
      <w:pPr>
        <w:pStyle w:val="1250"/>
        <w:numPr>
          <w:ilvl w:val="2"/>
          <w:numId w:val="44"/>
        </w:numPr>
        <w:ind w:left="0" w:firstLine="709"/>
        <w:spacing w:after="0"/>
        <w:tabs>
          <w:tab w:val="left" w:pos="1701" w:leader="none"/>
        </w:tabs>
        <w:rPr>
          <w:sz w:val="28"/>
          <w:szCs w:val="28"/>
        </w:rPr>
      </w:pPr>
      <w:r>
        <w:rPr>
          <w:sz w:val="28"/>
          <w:szCs w:val="28"/>
        </w:rPr>
        <w:t xml:space="preserve">На территории склада с нефтепродуктами запрещается:</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Устанавливать временные инвентарные здания и бытовые вагончики, а также хранить различные материалы и оборудование, не относящиеся к технологии хранения нефтепродуктов.</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Разводить костры.</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Применять открытый огонь для осмотра и отогревания труб, а также курить вблизи резервуаров с нефтепродуктами, в насосной, в камерах задвижек и вспомогательных помещениях.</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Эксплуатация негерметичного оборудования и запорной арматуры.</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Эксплуатация резервуаров, имеющих перекосы и трещины, проемы или трещины на плавающих крышах, а также неисправные оборудование, контрольно-измерительные приборы, подводящие нефтепроводы и стационарные противопожарные устройства.</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Наличие деревьев, кустарников и сухой растительности внутри обвалований.</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Установка емкостей (резервуаров) на основание, выполненное из горючих материалов.</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Переполнение резервуаров и цистерн.</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Слив и налив нефти и нефтепродуктов во время грозы.</w:t>
      </w:r>
      <w:r>
        <w:rPr>
          <w:sz w:val="28"/>
          <w:szCs w:val="28"/>
        </w:rPr>
      </w:r>
    </w:p>
    <w:p>
      <w:pPr>
        <w:pStyle w:val="1250"/>
        <w:numPr>
          <w:ilvl w:val="1"/>
          <w:numId w:val="65"/>
        </w:numPr>
        <w:ind w:left="0" w:firstLine="709"/>
        <w:spacing w:after="0"/>
        <w:tabs>
          <w:tab w:val="left" w:pos="1701" w:leader="none"/>
        </w:tabs>
        <w:rPr>
          <w:sz w:val="28"/>
          <w:szCs w:val="28"/>
        </w:rPr>
      </w:pPr>
      <w:r>
        <w:rPr>
          <w:sz w:val="28"/>
          <w:szCs w:val="28"/>
        </w:rPr>
        <w:t xml:space="preserve">Разливать нефтепродукты, а также хранить упаковочный материал и тару непосредственно в хранилищах и на обвалованных площадках.</w:t>
      </w:r>
      <w:r>
        <w:rPr>
          <w:sz w:val="28"/>
          <w:szCs w:val="28"/>
        </w:rPr>
      </w:r>
    </w:p>
    <w:p>
      <w:pPr>
        <w:pStyle w:val="1250"/>
        <w:numPr>
          <w:ilvl w:val="2"/>
          <w:numId w:val="44"/>
        </w:numPr>
        <w:ind w:left="0" w:firstLine="709"/>
        <w:spacing w:after="0"/>
        <w:tabs>
          <w:tab w:val="left" w:pos="1701" w:leader="none"/>
        </w:tabs>
        <w:rPr>
          <w:sz w:val="28"/>
          <w:szCs w:val="28"/>
        </w:rPr>
      </w:pPr>
      <w:r>
        <w:rPr>
          <w:sz w:val="28"/>
          <w:szCs w:val="28"/>
        </w:rPr>
        <w:t xml:space="preserve">Места разлива мазута, дизельного топлива или других нефтепродуктов, в том числе внутри обвалования резервуаров, следует немедленно зачищать и засыпать песком.</w:t>
      </w:r>
      <w:r>
        <w:rPr>
          <w:sz w:val="28"/>
          <w:szCs w:val="28"/>
        </w:rPr>
      </w:r>
    </w:p>
    <w:p>
      <w:pPr>
        <w:pStyle w:val="1250"/>
        <w:numPr>
          <w:ilvl w:val="2"/>
          <w:numId w:val="44"/>
        </w:numPr>
        <w:ind w:left="0" w:firstLine="709"/>
        <w:spacing w:after="0"/>
        <w:tabs>
          <w:tab w:val="left" w:pos="1701" w:leader="none"/>
        </w:tabs>
        <w:rPr>
          <w:sz w:val="28"/>
          <w:szCs w:val="28"/>
        </w:rPr>
      </w:pPr>
      <w:r>
        <w:rPr>
          <w:sz w:val="28"/>
          <w:szCs w:val="28"/>
        </w:rPr>
        <w:t xml:space="preserve">Устройство и высота обвалования наземных резервуаров должны соответствовать нормативным требованиям.</w:t>
      </w:r>
      <w:r>
        <w:rPr>
          <w:sz w:val="28"/>
          <w:szCs w:val="28"/>
        </w:rPr>
      </w:r>
    </w:p>
    <w:p>
      <w:pPr>
        <w:pStyle w:val="1250"/>
        <w:numPr>
          <w:ilvl w:val="2"/>
          <w:numId w:val="44"/>
        </w:numPr>
        <w:ind w:left="0" w:firstLine="709"/>
        <w:spacing w:after="0"/>
        <w:tabs>
          <w:tab w:val="left" w:pos="1701" w:leader="none"/>
        </w:tabs>
        <w:rPr>
          <w:sz w:val="28"/>
          <w:szCs w:val="28"/>
        </w:rPr>
      </w:pPr>
      <w:r>
        <w:rPr>
          <w:sz w:val="28"/>
          <w:szCs w:val="28"/>
        </w:rPr>
        <w:t xml:space="preserve">Допускается устройство двух переездов шириной не менее 4 м через обвалование для механизированных средств пожаротушения. При их выполнении не должны быть нарушены целостность и высота обвалования, а также проезды по территории резервуарного парка.</w:t>
      </w:r>
      <w:r>
        <w:rPr>
          <w:sz w:val="28"/>
          <w:szCs w:val="28"/>
        </w:rPr>
      </w:r>
    </w:p>
    <w:p>
      <w:pPr>
        <w:pStyle w:val="1250"/>
        <w:numPr>
          <w:ilvl w:val="0"/>
          <w:numId w:val="45"/>
        </w:numPr>
        <w:ind w:left="0" w:firstLine="709"/>
        <w:spacing w:after="0"/>
        <w:tabs>
          <w:tab w:val="left" w:pos="1701" w:leader="none"/>
        </w:tabs>
        <w:rPr>
          <w:sz w:val="28"/>
          <w:szCs w:val="28"/>
        </w:rPr>
      </w:pPr>
      <w:r>
        <w:rPr>
          <w:sz w:val="28"/>
          <w:szCs w:val="28"/>
        </w:rPr>
        <w:t xml:space="preserve">Обвалования вокруг резервуаров, а также переезды через обвалования должны находиться в исправном состоянии.</w:t>
      </w:r>
      <w:r>
        <w:rPr>
          <w:sz w:val="28"/>
          <w:szCs w:val="28"/>
        </w:rPr>
      </w:r>
    </w:p>
    <w:p>
      <w:pPr>
        <w:pStyle w:val="1250"/>
        <w:numPr>
          <w:ilvl w:val="0"/>
          <w:numId w:val="45"/>
        </w:numPr>
        <w:ind w:left="0" w:firstLine="709"/>
        <w:spacing w:after="0"/>
        <w:tabs>
          <w:tab w:val="left" w:pos="1701" w:leader="none"/>
        </w:tabs>
        <w:rPr>
          <w:sz w:val="28"/>
          <w:szCs w:val="28"/>
        </w:rPr>
      </w:pPr>
      <w:r>
        <w:rPr>
          <w:sz w:val="28"/>
          <w:szCs w:val="28"/>
        </w:rPr>
        <w:t xml:space="preserve">В весеннее время, а также после обильных атмосферных осадков за состоянием отко</w:t>
      </w:r>
      <w:r>
        <w:rPr>
          <w:sz w:val="28"/>
          <w:szCs w:val="28"/>
        </w:rPr>
        <w:t xml:space="preserve">сов обсыпных резервуаров и их обвалованиями должно быть установлено постоянное наблюдение. Результаты осмотра должны заноситься в оперативный журнал или специальный журнал произвольной формы. Оползни и другие нарушения следует устранять в кратчайшие сроки.</w:t>
      </w:r>
      <w:r>
        <w:rPr>
          <w:sz w:val="28"/>
          <w:szCs w:val="28"/>
        </w:rPr>
      </w:r>
    </w:p>
    <w:p>
      <w:pPr>
        <w:pStyle w:val="1250"/>
        <w:numPr>
          <w:ilvl w:val="0"/>
          <w:numId w:val="45"/>
        </w:numPr>
        <w:ind w:left="0" w:firstLine="709"/>
        <w:spacing w:after="0"/>
        <w:tabs>
          <w:tab w:val="left" w:pos="1701" w:leader="none"/>
        </w:tabs>
        <w:rPr>
          <w:sz w:val="28"/>
          <w:szCs w:val="28"/>
        </w:rPr>
      </w:pPr>
      <w:r>
        <w:rPr>
          <w:sz w:val="28"/>
          <w:szCs w:val="28"/>
        </w:rPr>
        <w:t xml:space="preserve">При прокладке или замене трубопроводов, проходящих ч</w:t>
      </w:r>
      <w:r>
        <w:rPr>
          <w:sz w:val="28"/>
          <w:szCs w:val="28"/>
        </w:rPr>
        <w:t xml:space="preserve">ерез обвалование наземных резервуаров, прорытые траншеи по окончании работ должны быть немедленно засыпаны и обвалование восстановлено. При длительных перерывах в работе (более 15 суток) должна быть восстановлена высота обвалования до нормативной величины.</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Для измерения уровня и отбора проб нефтепродуктов должны, как правило, применяться стационарные системы измерительных устройств.</w:t>
      </w:r>
      <w:r>
        <w:rPr>
          <w:sz w:val="28"/>
          <w:szCs w:val="28"/>
        </w:rPr>
      </w:r>
    </w:p>
    <w:p>
      <w:pPr>
        <w:pStyle w:val="1250"/>
        <w:ind w:firstLine="709"/>
        <w:spacing w:after="0"/>
        <w:tabs>
          <w:tab w:val="left" w:pos="1701" w:leader="none"/>
        </w:tabs>
        <w:rPr>
          <w:sz w:val="28"/>
          <w:szCs w:val="28"/>
        </w:rPr>
      </w:pPr>
      <w:r>
        <w:rPr>
          <w:sz w:val="28"/>
          <w:szCs w:val="28"/>
        </w:rPr>
        <w:t xml:space="preserve">В исключительных случаях допускается выполнять указанные операции вручную через люки, но в дневное время суток. Люки для взятия проб по внутренней стороне должны иметь защитные кожухи из металла, не вызывающего искрообразования.</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Запрещается отбирать пробы из резервуаров с легковоспламеняющимися жидкостями во время их откачки или заполнения.</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При осмотрах резервуаров, а также при замерах и отборе проб обувь у обслуживающего персонала должна быть такой, чтобы исключалось искрообразование, а одежда – из тканей, не накапливающих зарядов статическ</w:t>
      </w:r>
      <w:r>
        <w:rPr>
          <w:sz w:val="28"/>
          <w:szCs w:val="28"/>
        </w:rPr>
        <w:t xml:space="preserve">ого электричества. Для освещения необходимо применять только аккумуляторные фонари во взрывобезопасном исполнении. Отбор проб и замер уровня жидкости в резервуаре необходимо производить при помощи приспособлений из материалов, исключающих искрообразование.</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Ремонт резервуаров, цистерн, емкостей и т.п. должен производиться только после полного освобождения их от горючих жидкостей, отсоединения от них трубопроводов, открытия всех люков, тщательной </w:t>
      </w:r>
      <w:r>
        <w:rPr>
          <w:sz w:val="28"/>
          <w:szCs w:val="28"/>
        </w:rPr>
        <w:t xml:space="preserve">очистки (пропарки и промывки), отбора проб воздуха для анализа на отсутствие взрывоопасной концентрации. Обо всех подготовительных работах делается запись в оперативном журнале или специальном журнале произвольной формы.</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Запрещается заполнять резервуары, давш</w:t>
      </w:r>
      <w:r>
        <w:rPr>
          <w:sz w:val="28"/>
          <w:szCs w:val="28"/>
        </w:rPr>
        <w:t xml:space="preserve">ие осадку, имеющие неисправности соединительных трубопроводов, сальниковых набивок, задвижек управления, системы пожаротушения (при ее наличии), измерительных устройств и другие конструктивные недостатки, влияющие на обеспечение их безопасной эксплуатации.</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Стационарные установки пожаротушения наземных металлических резервуаров должны быть в исправном состоянии и работать в автоматическом режиме.</w:t>
      </w:r>
      <w:r>
        <w:rPr>
          <w:sz w:val="28"/>
          <w:szCs w:val="28"/>
        </w:rPr>
      </w:r>
    </w:p>
    <w:p>
      <w:pPr>
        <w:pStyle w:val="1250"/>
        <w:ind w:firstLine="709"/>
        <w:spacing w:after="0"/>
        <w:tabs>
          <w:tab w:val="left" w:pos="1701" w:leader="none"/>
        </w:tabs>
        <w:rPr>
          <w:sz w:val="28"/>
          <w:szCs w:val="28"/>
        </w:rPr>
      </w:pPr>
      <w:r>
        <w:rPr>
          <w:sz w:val="28"/>
          <w:szCs w:val="28"/>
        </w:rPr>
        <w:t xml:space="preserve">Трубопроводы пожаротушения и орошения резервуаров (при их наличии) должны быть окрашены в соответствии с требованиями НТД.</w:t>
      </w:r>
      <w:r>
        <w:rPr>
          <w:sz w:val="28"/>
          <w:szCs w:val="28"/>
        </w:rPr>
      </w:r>
    </w:p>
    <w:p>
      <w:pPr>
        <w:pStyle w:val="1250"/>
        <w:ind w:firstLine="709"/>
        <w:spacing w:after="0"/>
        <w:tabs>
          <w:tab w:val="left" w:pos="1701" w:leader="none"/>
        </w:tabs>
        <w:rPr>
          <w:sz w:val="28"/>
          <w:szCs w:val="28"/>
        </w:rPr>
      </w:pPr>
      <w:r>
        <w:rPr>
          <w:sz w:val="28"/>
          <w:szCs w:val="28"/>
        </w:rPr>
        <w:t xml:space="preserve">Установленные в закрытых помещениях резервуары для хранения энергетических масел должны иметь устройства для замера уровня жидкости и предотвращения ее перелива. Дренажные устройства в этих помещениях должны постоянно содержаться в исправном состоянии.</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В закрытых хранилищах нефтепродуктов запрещается их хранение в неисправной или открытой таре. Ящики для хранения обтирочных материалов должны стоять вне хранилища.</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Для отвинчивания пробок и открывания крышек бочек должны применяться инструменты из металла, не вызывающего искрообразование.</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Для уменьшения нагрева от солнечных лучей резервуары и нефтепроводы должны окрашиваться красками светлых тонов или покрываться металлом (при использовании теплоизоляции) со светоотражательными свойствами (алюминиевый лист, оцинкованное железо и т.п.).</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Тоннели, камеры задвижек и каналы трубопроводов следует содержать в чистоте, регулярно очищать от пролитых нефтепродуктов, воды и других веществ. Запрещается в указанных помещениях хранить сгораемые материалы.</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Канализационные колодцы, трапы, лотки и каналы должны систематически проверяться для обнаружения и исключения образования взрывоопасных концентраций паров нефтепродуктов и токсичных газов.</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Устройства удаления воды из обвалований резервуарного парка должны поддерживаться в работоспособном состоянии.</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Запрещается внутри обвалований резервуаров устанавливать запорную арматуру, за исключением устройства коренных задвижек.</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Проезды и переходы через трубопроводы и обвалования резервуаров необходимо регулярно обследовать и ремонтировать. Запрещается выполнение переходов из сгораемых материалов.</w:t>
      </w:r>
      <w:r>
        <w:rPr>
          <w:sz w:val="28"/>
          <w:szCs w:val="28"/>
        </w:rPr>
      </w:r>
    </w:p>
    <w:p>
      <w:pPr>
        <w:pStyle w:val="1250"/>
        <w:numPr>
          <w:ilvl w:val="2"/>
          <w:numId w:val="22"/>
        </w:numPr>
        <w:ind w:left="0" w:firstLine="709"/>
        <w:spacing w:after="0"/>
        <w:tabs>
          <w:tab w:val="left" w:pos="1701" w:leader="none"/>
        </w:tabs>
        <w:rPr>
          <w:sz w:val="28"/>
          <w:szCs w:val="28"/>
        </w:rPr>
      </w:pPr>
      <w:r>
        <w:rPr>
          <w:sz w:val="28"/>
          <w:szCs w:val="28"/>
        </w:rPr>
        <w:t xml:space="preserve">Устройства молниезащиты, электроосвещения зданий и территории складов нефтепродуктов, сливных причалов (пирсов), а также </w:t>
      </w:r>
      <w:r>
        <w:rPr>
          <w:sz w:val="28"/>
          <w:szCs w:val="28"/>
        </w:rPr>
        <w:t xml:space="preserve">охранного освещения по периметру должны содержаться в исправном состоянии.</w:t>
      </w:r>
      <w:r>
        <w:rPr>
          <w:sz w:val="28"/>
          <w:szCs w:val="28"/>
        </w:rPr>
      </w:r>
    </w:p>
    <w:p>
      <w:pPr>
        <w:pStyle w:val="1250"/>
        <w:numPr>
          <w:ilvl w:val="2"/>
          <w:numId w:val="22"/>
        </w:numPr>
        <w:ind w:left="0" w:firstLine="709"/>
        <w:spacing w:after="0"/>
        <w:shd w:val="clear" w:color="auto" w:fill="ffffff"/>
        <w:tabs>
          <w:tab w:val="left" w:pos="1701" w:leader="none"/>
        </w:tabs>
        <w:rPr>
          <w:sz w:val="28"/>
          <w:szCs w:val="28"/>
        </w:rPr>
      </w:pPr>
      <w:r>
        <w:rPr>
          <w:sz w:val="28"/>
          <w:szCs w:val="28"/>
        </w:rPr>
        <w:t xml:space="preserve">Внутренняя поверхность маслобаков должна иметь маслобензостойкое антикоррозионное покрытие.</w:t>
      </w:r>
      <w:r>
        <w:rPr>
          <w:sz w:val="28"/>
          <w:szCs w:val="28"/>
        </w:rPr>
      </w:r>
    </w:p>
    <w:p>
      <w:pPr>
        <w:pStyle w:val="1250"/>
        <w:numPr>
          <w:ilvl w:val="2"/>
          <w:numId w:val="22"/>
        </w:numPr>
        <w:ind w:left="0" w:firstLine="709"/>
        <w:spacing w:after="0"/>
        <w:shd w:val="clear" w:color="auto" w:fill="ffffff"/>
        <w:tabs>
          <w:tab w:val="left" w:pos="1701" w:leader="none"/>
        </w:tabs>
        <w:rPr>
          <w:sz w:val="28"/>
          <w:szCs w:val="28"/>
        </w:rPr>
      </w:pPr>
      <w:r>
        <w:rPr>
          <w:sz w:val="28"/>
          <w:szCs w:val="28"/>
        </w:rPr>
        <w:t xml:space="preserve"> Баки должны быть оборудованы воздухоосушительными фильтрами.</w:t>
      </w:r>
      <w:r>
        <w:rPr>
          <w:sz w:val="28"/>
          <w:szCs w:val="28"/>
        </w:rPr>
      </w:r>
    </w:p>
    <w:p>
      <w:pPr>
        <w:pStyle w:val="1250"/>
        <w:numPr>
          <w:ilvl w:val="2"/>
          <w:numId w:val="22"/>
        </w:numPr>
        <w:ind w:left="0" w:firstLine="709"/>
        <w:spacing w:after="0"/>
        <w:shd w:val="clear" w:color="auto" w:fill="ffffff"/>
        <w:tabs>
          <w:tab w:val="left" w:pos="1701" w:leader="none"/>
        </w:tabs>
        <w:rPr>
          <w:sz w:val="28"/>
          <w:szCs w:val="28"/>
        </w:rPr>
      </w:pPr>
      <w:r>
        <w:rPr>
          <w:sz w:val="28"/>
          <w:szCs w:val="28"/>
        </w:rPr>
        <w:t xml:space="preserve">На территории масляного хозяйства курить, разводить огонь, пользоваться факелами, спичками, зажигалками запрещается.</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Вокруг открытого склада хранения масел и вокруг баков должно быть обвалование для предотвращения растекания нефтепродуктов при повреждении баков шириной поверху не менее 0,5 м.</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Высота обвалования должна быть на 0,2 м выше уровня расчётного объёма разлившейся жидкости, но не менее 1 м для резервуаров номинальным объёмом до 10 000 м</w:t>
      </w:r>
      <w:r>
        <w:rPr>
          <w:sz w:val="28"/>
          <w:szCs w:val="28"/>
          <w:vertAlign w:val="superscript"/>
        </w:rPr>
        <w:t xml:space="preserve">3</w:t>
      </w:r>
      <w:r>
        <w:rPr>
          <w:sz w:val="28"/>
          <w:szCs w:val="28"/>
        </w:rPr>
        <w:t xml:space="preserve"> и 1,5 м для резервуаров объемом 10 000 м</w:t>
      </w:r>
      <w:r>
        <w:rPr>
          <w:sz w:val="28"/>
          <w:szCs w:val="28"/>
          <w:vertAlign w:val="superscript"/>
        </w:rPr>
        <w:t xml:space="preserve">3</w:t>
      </w:r>
      <w:r>
        <w:rPr>
          <w:sz w:val="28"/>
          <w:szCs w:val="28"/>
        </w:rPr>
        <w:t xml:space="preserve"> и более.</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Расстояние от стенок резервуаров до подошвы внутренних откосов обвалования или до ограждающих стен следует принимать не менее 3 м от резервуаров объемом до 10 000 м</w:t>
      </w:r>
      <w:r>
        <w:rPr>
          <w:sz w:val="28"/>
          <w:szCs w:val="28"/>
          <w:vertAlign w:val="superscript"/>
        </w:rPr>
        <w:t xml:space="preserve">3</w:t>
      </w:r>
      <w:r>
        <w:rPr>
          <w:sz w:val="28"/>
          <w:szCs w:val="28"/>
        </w:rPr>
        <w:t xml:space="preserve"> и 6 м - от резервуаров объемом 10 000 м</w:t>
      </w:r>
      <w:r>
        <w:rPr>
          <w:sz w:val="28"/>
          <w:szCs w:val="28"/>
          <w:vertAlign w:val="superscript"/>
        </w:rPr>
        <w:t xml:space="preserve">3</w:t>
      </w:r>
      <w:r>
        <w:rPr>
          <w:sz w:val="28"/>
          <w:szCs w:val="28"/>
        </w:rPr>
        <w:t xml:space="preserve"> и более.</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Группа из резервуаров объемом 400 м</w:t>
      </w:r>
      <w:r>
        <w:rPr>
          <w:sz w:val="28"/>
          <w:szCs w:val="28"/>
          <w:vertAlign w:val="superscript"/>
        </w:rPr>
        <w:t xml:space="preserve">3</w:t>
      </w:r>
      <w:r>
        <w:rPr>
          <w:sz w:val="28"/>
          <w:szCs w:val="28"/>
        </w:rPr>
        <w:t xml:space="preserve"> и менее общей вместимостью до 4000 м</w:t>
      </w:r>
      <w:r>
        <w:rPr>
          <w:sz w:val="28"/>
          <w:szCs w:val="28"/>
          <w:vertAlign w:val="superscript"/>
        </w:rPr>
        <w:t xml:space="preserve">3</w:t>
      </w:r>
      <w:r>
        <w:rPr>
          <w:sz w:val="28"/>
          <w:szCs w:val="28"/>
        </w:rPr>
        <w:t xml:space="preserve">, расположенная отдельно от общей группы резервуаров (за пределами ее вн</w:t>
      </w:r>
      <w:r>
        <w:rPr>
          <w:sz w:val="28"/>
          <w:szCs w:val="28"/>
        </w:rPr>
        <w:t xml:space="preserve">ешнего обвалования), должна быть ограждена сплошным земляным валом или стеной высотой 0,8 м при вертикальных резервуарах и 0,5 м при горизонтальных резервуарах. Расстояние от стенок этих резервуаров до подошвы внутренних откосов обвалования не нормируется.</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Свежее и регенерированное трансформаторные масла одной марки могут храниться в одной емкости, если регенерированное масло отвечает всем требованиям ГОСТ или ТУ на свежее масло. Масла различных марок следует хранить отдельно.</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Гибкие шланги, используемые при обраб</w:t>
      </w:r>
      <w:r>
        <w:rPr>
          <w:sz w:val="28"/>
          <w:szCs w:val="28"/>
        </w:rPr>
        <w:t xml:space="preserve">отке масла передвижным оборудованием, перед применением должны быть тщательно осмотрены и промыты чистым маслом. Шланги, применяемые для чистого и для отработанного масла, должны иметь соответствующую маркировку и храниться с герметично закрытыми пробками.</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На территории масляного хозяйства использование фонарей невзрывобезопасного исполнения запрещается.</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При ремонте дорог необходимо следить за тем, чтобы были оставлены объезды шириной 3,5 м для проезда пожарных машин или устроены мостики через траншеи.</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В летнее время на территории масляного хозяйства трава (при достижении высоты 0,2 м и выше) должна быть скошена и вывезена. Сушка скошенной травы и хранение сена на территории масляного хозяйства запрещается.</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Все огневые работы на территории и в помещениях масляного хозяйства должны выполняться в соответствии с порядком, определённым разделом 13.2 настоящих Руководящих указаний.</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При работе с нефтяными маслами ремонтные работы на оборудовании масляного хозяйства необходимо производить только по наряду-допуску.</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Запрещается производить подтяжку болтовых соединений</w:t>
      </w:r>
      <w:r>
        <w:rPr>
          <w:sz w:val="28"/>
          <w:szCs w:val="28"/>
        </w:rPr>
        <w:t xml:space="preserve"> (сальники насосов, задвижек и вентилей, фланцы арматуры, подогревателей, фильтров, счетчиков, КИП и т.д.) на оборудовании (участке), находящемся в работе без снятия давления и отключения оборудования (участка) от технологической схемы масляного хозяйства.</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Допускается производить подтяжку болтовых фланцев соединений при избыточном давлении не более 0,5 МПа (5 кгс/см</w:t>
      </w:r>
      <w:r>
        <w:rPr>
          <w:sz w:val="28"/>
          <w:szCs w:val="28"/>
          <w:vertAlign w:val="superscript"/>
        </w:rPr>
        <w:t xml:space="preserve">2</w:t>
      </w:r>
      <w:r>
        <w:rPr>
          <w:sz w:val="28"/>
          <w:szCs w:val="28"/>
        </w:rPr>
        <w:t xml:space="preserve">) только при опробовании и прогреве трубопроводов, подогревателей, фильтров после ремонта.</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Запрещается производить пуск насосов при обнаружении неисправностей заземления корпусов, брони и воронок кабелей электродвигателя при отсутствии ограждения на муфте сцепления.</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При длительном ремонте (более суток), а также при недостаточной плотности отключающей фланцевой арматуры ремонтируемое оборудование должно быть отделено от действующего с помощью заглушек.</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Запрещается производить пуск насосов при закрытой напорной задвижке.</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Разогрев замерзших трубопроводов и арматуры должен производиться только паром.</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Грязный обтирочный материал должен периодически вывозиться с территории масляного хозяйства.</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Разлитое масло следует немедленно убрать, после чего место, где оно было разлито, вытереть досуха или засыпать песком.</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Проходы, проезды, коридоры, тамбуры, лестница в производственных помещениях необходимо содержать в исправном состоянии и ничем не загромождать.</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Нельзя приступать к операциям по сливу масла из железнодорожных цистерн до отцепления и отхода локомотива.</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Операции по сливу масла из железнодорожных цистерн необходимо производить бригадой в составе не менее двух человек.</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Торможение цистерн металлическими тормозными башмаками на сливной эстакаде не допускается.</w:t>
      </w:r>
      <w:r>
        <w:rPr>
          <w:sz w:val="28"/>
          <w:szCs w:val="28"/>
        </w:rPr>
      </w:r>
    </w:p>
    <w:p>
      <w:pPr>
        <w:pStyle w:val="1250"/>
        <w:numPr>
          <w:ilvl w:val="2"/>
          <w:numId w:val="115"/>
        </w:numPr>
        <w:ind w:left="0" w:firstLine="709"/>
        <w:spacing w:after="0"/>
        <w:shd w:val="clear" w:color="auto" w:fill="ffffff"/>
        <w:tabs>
          <w:tab w:val="left" w:pos="1701" w:leader="none"/>
        </w:tabs>
        <w:rPr>
          <w:sz w:val="28"/>
          <w:szCs w:val="28"/>
        </w:rPr>
      </w:pPr>
      <w:r>
        <w:rPr>
          <w:sz w:val="28"/>
          <w:szCs w:val="28"/>
        </w:rPr>
        <w:t xml:space="preserve">Доливку масла в электропривод погруженных насосов следует производить на остановленном насосе и при снятом с него напряжении.</w:t>
      </w:r>
      <w:r>
        <w:rPr>
          <w:sz w:val="28"/>
          <w:szCs w:val="28"/>
        </w:rPr>
      </w:r>
    </w:p>
    <w:p>
      <w:pPr>
        <w:pStyle w:val="1250"/>
        <w:ind w:firstLine="0"/>
        <w:spacing w:after="0"/>
        <w:shd w:val="clear" w:color="auto" w:fill="ffffff"/>
        <w:tabs>
          <w:tab w:val="left" w:pos="1701" w:leader="none"/>
        </w:tabs>
      </w:pPr>
      <w:r/>
      <w:r/>
    </w:p>
    <w:p>
      <w:pPr>
        <w:pStyle w:val="1250"/>
        <w:ind w:firstLine="0"/>
        <w:spacing w:after="0"/>
        <w:shd w:val="clear" w:color="auto" w:fill="ffffff"/>
        <w:tabs>
          <w:tab w:val="left" w:pos="1701" w:leader="none"/>
        </w:tabs>
      </w:pPr>
      <w:r/>
      <w:r/>
    </w:p>
    <w:p>
      <w:pPr>
        <w:pStyle w:val="1250"/>
        <w:ind w:firstLine="0"/>
        <w:spacing w:after="0"/>
        <w:shd w:val="clear" w:color="auto" w:fill="ffffff"/>
        <w:tabs>
          <w:tab w:val="left" w:pos="1701" w:leader="none"/>
        </w:tabs>
      </w:pPr>
      <w:r/>
      <w:r/>
    </w:p>
    <w:p>
      <w:pPr>
        <w:pStyle w:val="1250"/>
        <w:ind w:firstLine="0"/>
        <w:spacing w:after="0"/>
        <w:shd w:val="clear" w:color="auto" w:fill="ffffff"/>
        <w:tabs>
          <w:tab w:val="left" w:pos="1701" w:leader="none"/>
        </w:tabs>
      </w:pPr>
      <w:r/>
      <w:r/>
    </w:p>
    <w:p>
      <w:pPr>
        <w:pStyle w:val="1180"/>
        <w:numPr>
          <w:ilvl w:val="0"/>
          <w:numId w:val="106"/>
        </w:numPr>
        <w:ind w:left="0" w:firstLine="709"/>
        <w:jc w:val="both"/>
        <w:spacing w:before="0" w:beforeAutospacing="0" w:after="0" w:afterAutospacing="0"/>
        <w:tabs>
          <w:tab w:val="left" w:pos="1418" w:leader="none"/>
        </w:tabs>
        <w:rPr>
          <w:b/>
          <w:sz w:val="32"/>
          <w:szCs w:val="32"/>
        </w:rPr>
        <w:outlineLvl w:val="0"/>
      </w:pPr>
      <w:r/>
      <w:bookmarkStart w:id="79" w:name="Складское_хозяйство_6"/>
      <w:r/>
      <w:bookmarkStart w:id="80" w:name="_Toc124499106"/>
      <w:r>
        <w:rPr>
          <w:b/>
          <w:sz w:val="32"/>
          <w:szCs w:val="32"/>
        </w:rPr>
        <w:t xml:space="preserve">Складское хозяйство</w:t>
      </w:r>
      <w:bookmarkEnd w:id="79"/>
      <w:r/>
      <w:bookmarkEnd w:id="80"/>
      <w:r/>
      <w:r>
        <w:rPr>
          <w:b/>
          <w:sz w:val="32"/>
          <w:szCs w:val="32"/>
        </w:rPr>
      </w:r>
    </w:p>
    <w:p>
      <w:pPr>
        <w:pStyle w:val="1180"/>
        <w:ind w:left="851" w:firstLine="709"/>
        <w:jc w:val="both"/>
        <w:spacing w:before="0" w:beforeAutospacing="0" w:after="0" w:afterAutospacing="0"/>
        <w:rPr>
          <w:b/>
        </w:rPr>
      </w:pPr>
      <w:r>
        <w:rPr>
          <w:b/>
        </w:rPr>
      </w:r>
      <w:r>
        <w:rPr>
          <w:b/>
        </w:rPr>
      </w:r>
    </w:p>
    <w:p>
      <w:pPr>
        <w:pStyle w:val="1180"/>
        <w:numPr>
          <w:ilvl w:val="1"/>
          <w:numId w:val="16"/>
        </w:numPr>
        <w:ind w:left="0" w:firstLine="709"/>
        <w:jc w:val="both"/>
        <w:spacing w:before="0" w:beforeAutospacing="0" w:after="0" w:afterAutospacing="0"/>
        <w:tabs>
          <w:tab w:val="left" w:pos="1418" w:leader="none"/>
        </w:tabs>
        <w:rPr>
          <w:b/>
          <w:sz w:val="28"/>
          <w:szCs w:val="28"/>
        </w:rPr>
        <w:outlineLvl w:val="1"/>
      </w:pPr>
      <w:r/>
      <w:bookmarkStart w:id="81" w:name="_Toc112328571"/>
      <w:r/>
      <w:bookmarkStart w:id="82" w:name="_Toc124499107"/>
      <w:r/>
      <w:bookmarkStart w:id="83" w:name="Складское_хозяйство_общ_треб_6_1"/>
      <w:r>
        <w:rPr>
          <w:b/>
          <w:sz w:val="28"/>
          <w:szCs w:val="28"/>
        </w:rPr>
        <w:t xml:space="preserve">Общие требования</w:t>
      </w:r>
      <w:bookmarkEnd w:id="81"/>
      <w:r/>
      <w:bookmarkEnd w:id="82"/>
      <w:r/>
      <w:bookmarkEnd w:id="83"/>
      <w:r>
        <w:rPr>
          <w:b/>
          <w:sz w:val="28"/>
          <w:szCs w:val="28"/>
        </w:rPr>
      </w:r>
    </w:p>
    <w:p>
      <w:pPr>
        <w:pStyle w:val="1180"/>
        <w:ind w:left="851" w:firstLine="709"/>
        <w:jc w:val="both"/>
        <w:spacing w:before="0" w:beforeAutospacing="0" w:after="0" w:afterAutospacing="0"/>
        <w:rPr>
          <w:b/>
        </w:rPr>
      </w:pPr>
      <w:r>
        <w:rPr>
          <w:b/>
        </w:rPr>
      </w:r>
      <w:r>
        <w:rPr>
          <w:b/>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 зданиям склада на территории Филиала должен быть обеспечен свободный доступ.</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Между штабелями хранения материалов и оборудования открытых складов должны предусматриваться разрывы не менее 5 м и проезды для пожарных машин. С территории, прилегающей к складу, должны систематически удаляться все сгораемые отходы, упаковка и мусор.</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хранении различных мат</w:t>
      </w:r>
      <w:r>
        <w:rPr>
          <w:rFonts w:ascii="Times New Roman" w:hAnsi="Times New Roman" w:cs="Times New Roman"/>
          <w:sz w:val="28"/>
          <w:szCs w:val="28"/>
        </w:rPr>
        <w:t xml:space="preserve">ериалов и веществ должны учитываться их пожароопасные и физико-химические свойства (способность к окислению, самонагреванию, воспламенению при попадании влаги, взаимодействию с воздухом и т.п.), совместимость, а также признаки однородности гасящих веществ.</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совместное хранение в одной пожарной секции с каучуком или материалами, получаемыми путем вулканизации каучука, каких-либо других материалов и товаров.</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применении бесстелажного способа хранения материалы и товары долж</w:t>
      </w:r>
      <w:r>
        <w:rPr>
          <w:rFonts w:ascii="Times New Roman" w:hAnsi="Times New Roman" w:cs="Times New Roman"/>
          <w:sz w:val="28"/>
          <w:szCs w:val="28"/>
        </w:rPr>
        <w:t xml:space="preserve">ны укладываться в штабеля. Напротив дверных проемов необходимо оставлять проходы, как правило, равные ширине дверей, но не менее 1 м. Ширина проходов между штабелями должна быть не менее 1 м. Расстояние между стенами и штабелями должно быть не менее 0,8 м.</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Складские отсеки, расположенные в подвальных помещениях, должны иметь не менее двух выходов или один выход и одно окно для эвакуации людей непосредственно на первый этаж, а также люки или окна размером 0,9 х 1,2 м с приямками (для выпуска дыма при пожаре).</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Полы складских помещений, относящихся к категории А, Б и В1, в которых хранятся ЛВЖ и ГЖ, должны быть выполнены из негорючих материалов.</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lang w:eastAsia="en-US"/>
        </w:rPr>
        <w:t xml:space="preserve">В материальных складах, кладовых расстояние между светильниками с лампами накаливания и хранимыми горючими материалами должно быть не менее 0,5 м. Светильники должны быть выполнены в соответствии с классом зоны определенных главой 5 123-ФЗ. </w:t>
      </w:r>
      <w:r>
        <w:rPr>
          <w:rFonts w:ascii="Times New Roman" w:hAnsi="Times New Roman" w:cs="Times New Roman"/>
          <w:sz w:val="28"/>
          <w:szCs w:val="28"/>
        </w:rPr>
      </w:r>
    </w:p>
    <w:p>
      <w:pPr>
        <w:pStyle w:val="1142"/>
        <w:numPr>
          <w:ilvl w:val="2"/>
          <w:numId w:val="9"/>
        </w:numPr>
        <w:ind w:left="0" w:firstLine="709"/>
        <w:jc w:val="both"/>
        <w:tabs>
          <w:tab w:val="left" w:pos="1701" w:leader="none"/>
        </w:tabs>
      </w:pPr>
      <w:r>
        <w:rPr>
          <w:rFonts w:ascii="Times New Roman" w:hAnsi="Times New Roman" w:cs="Times New Roman"/>
          <w:sz w:val="28"/>
          <w:szCs w:val="28"/>
        </w:rPr>
        <w:t xml:space="preserve">Запрещается в помещениях складов применять дежурное освещение, использовать газовые плиты и электронагревательные приборы. Оборудование складов по окончании рабочего дня должно обесточиваться.</w:t>
      </w: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Баллоны с горючими газами, емкости (бутылки, бутыли, другая тара) с легковоспламеняющимися и горючими жидкостями, а также аэрозольные упаковки должны быть защищены от солнечного и иного теплового воздействия.</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Стеллажи в складских помещениях должны быть, как правило, металлическими, допускаются деревянные стеллажи, обработанные огнезащитными составами.</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Отопление складских и конторских помещений должно быть, </w:t>
      </w:r>
      <w:r>
        <w:rPr>
          <w:rFonts w:ascii="Times New Roman" w:hAnsi="Times New Roman" w:cs="Times New Roman"/>
          <w:sz w:val="28"/>
          <w:szCs w:val="28"/>
        </w:rPr>
        <w:t xml:space="preserve">как правило, централизованное. </w:t>
      </w:r>
      <w:r>
        <w:rPr>
          <w:rStyle w:val="1256"/>
          <w:rFonts w:ascii="Times New Roman" w:hAnsi="Times New Roman" w:cs="Times New Roman"/>
          <w:sz w:val="28"/>
          <w:szCs w:val="28"/>
        </w:rPr>
        <w:t xml:space="preserve">При отсутствии централизованного отопления допускается применение электронагревательных отопительных приборов, соответствующих требованиям </w:t>
      </w:r>
      <w:hyperlink r:id="rId40" w:tooltip="&quot;Правила устройства электроустановок (ПУЭ). Оглавление&quot;(утв. Минэнерго России от 06.10.1999)Статус: Статус документа не определен" w:history="1">
        <w:r>
          <w:rPr>
            <w:rStyle w:val="1111"/>
            <w:rFonts w:ascii="Times New Roman" w:hAnsi="Times New Roman"/>
            <w:color w:val="e48b00"/>
            <w:sz w:val="28"/>
            <w:szCs w:val="28"/>
          </w:rPr>
          <w:t xml:space="preserve">ПУЭ</w:t>
        </w:r>
      </w:hyperlink>
      <w:r>
        <w:rPr>
          <w:rStyle w:val="1256"/>
          <w:rFonts w:ascii="Times New Roman" w:hAnsi="Times New Roman" w:cs="Times New Roman"/>
          <w:sz w:val="28"/>
          <w:szCs w:val="28"/>
        </w:rPr>
        <w:t xml:space="preserve"> и Правил противопожарного режима в Российской Федерации.</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Отключающие устройства для снятия напряжения должны размещаться вне помещений складов на несгораемой стене или на отдельно стоящей опоре.</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складских помещениях запрещается:</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продукцию навалом.</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аэрозольные упаковки в одном помещении с окислителем, горючими газами, ЛВЖ и ГЖ.</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кислоты в местах, где возможно их соприкосновение с древесиной и другими веществами органического происхождения (для нейтрализации случайно пролитых кислот места их хранения необходимо обеспечивать готовыми растворами мела, извести или соды).</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растительные масла совместно с другими какими-либо горючими материалами.</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Курить и использовать открытый огонь.</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Загромождать противопожарные разрывы и проезды между зданиями, штабелями материалов и оборудованием, а также устанавливать их у зданий даже на непродолжительное время.</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Сжигать упаковку, тару и другие отходы.</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грузы и погрузочные механизмы на разгрузочных площадках склада.</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Складировать различные материалы и оборудование на расстоянии менее 1 м от отопительных приборов.</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Прокладывать транзитные коммуникации (провода, кабели, газопроводы, трубопроводы пара, воды и др.).</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Складировать, даже временно, различные материалы в проходах между стеллажами, штабелями, а также между стеллажами, штабелями и стеной склада.</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Размещать производственные мастерские.</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Стоянка и ремонт погрузочно-разгрузочных и других транспортных средств.</w:t>
      </w:r>
      <w:r>
        <w:rPr>
          <w:rFonts w:ascii="Times New Roman" w:hAnsi="Times New Roman" w:cs="Times New Roman"/>
          <w:sz w:val="28"/>
          <w:szCs w:val="28"/>
        </w:rPr>
      </w:r>
    </w:p>
    <w:p>
      <w:pPr>
        <w:pStyle w:val="1142"/>
        <w:numPr>
          <w:ilvl w:val="1"/>
          <w:numId w:val="66"/>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невозможности устройства конторских помещений в отдельных зданиях допускается размещать их в складе, отделяя глухими перегородками и перекрытием из несгораемых материалов огнестойкостью не менее </w:t>
      </w:r>
      <w:r>
        <w:rPr>
          <w:rFonts w:ascii="Times New Roman" w:hAnsi="Times New Roman" w:cs="Times New Roman"/>
          <w:sz w:val="28"/>
          <w:szCs w:val="28"/>
          <w:lang w:val="en-US"/>
        </w:rPr>
        <w:t xml:space="preserve">EI</w:t>
      </w:r>
      <w:r>
        <w:rPr>
          <w:rFonts w:ascii="Times New Roman" w:hAnsi="Times New Roman" w:cs="Times New Roman"/>
          <w:sz w:val="28"/>
          <w:szCs w:val="28"/>
        </w:rPr>
        <w:t xml:space="preserve">45 с устройством отдельного выхода наружу.</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Сгруженные материалы и оборудование должны быть сразу убраны на постоянное место хранения.</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Все </w:t>
      </w:r>
      <w:r>
        <w:rPr>
          <w:rFonts w:ascii="Times New Roman" w:hAnsi="Times New Roman" w:cs="Times New Roman"/>
          <w:sz w:val="28"/>
          <w:szCs w:val="28"/>
        </w:rPr>
        <w:t xml:space="preserve">операции, связанные с вскрытием тары, проверкой исправности и мелким ремонтом, расфасовкой продукции, приготовлением рабочих смесей пожароопасных жидкостей (нитрокрасок, лаков и других горючих жидкостей) должны производиться в помещениях, изолированных от </w:t>
      </w:r>
      <w:r>
        <w:rPr>
          <w:rFonts w:ascii="Times New Roman" w:hAnsi="Times New Roman" w:cs="Times New Roman"/>
          <w:sz w:val="28"/>
          <w:szCs w:val="28"/>
        </w:rPr>
        <w:t xml:space="preserve">мест хранения пожароопасных и пожаровзрывоопасных веществ и материалов.</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Перед закрытием склада ответственное лицо должно обойти все помещения, проверить включенное и исправн</w:t>
      </w:r>
      <w:r>
        <w:rPr>
          <w:rFonts w:ascii="Times New Roman" w:hAnsi="Times New Roman" w:cs="Times New Roman"/>
          <w:sz w:val="28"/>
          <w:szCs w:val="28"/>
        </w:rPr>
        <w:t xml:space="preserve">ое состояние пожарной сигнализации, включить охранную сигнализацию, отключить электроприборы и запереть склад. При сдаче склада под охрану осмотр помещений должен производиться с представителем охраны. Результаты, осмотра записываются в специальный журнал.</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ЛВЖ и ГЖ</w:t>
      </w:r>
      <w:r>
        <w:rPr>
          <w:rFonts w:ascii="Times New Roman" w:hAnsi="Times New Roman"/>
          <w:sz w:val="28"/>
          <w:szCs w:val="28"/>
        </w:rPr>
        <w:t xml:space="preserve"> должны храниться</w:t>
      </w:r>
      <w:r>
        <w:rPr>
          <w:rFonts w:ascii="Times New Roman" w:hAnsi="Times New Roman" w:cs="Times New Roman"/>
          <w:sz w:val="28"/>
          <w:szCs w:val="28"/>
        </w:rPr>
        <w:t xml:space="preserve"> отдельно от других материалов</w:t>
      </w:r>
      <w:r>
        <w:rPr>
          <w:rFonts w:ascii="Times New Roman" w:hAnsi="Times New Roman"/>
          <w:sz w:val="28"/>
          <w:szCs w:val="28"/>
        </w:rPr>
        <w:t xml:space="preserve">.</w:t>
      </w:r>
      <w:r>
        <w:rPr>
          <w:rFonts w:ascii="Times New Roman" w:hAnsi="Times New Roman" w:cs="Times New Roman"/>
          <w:sz w:val="28"/>
          <w:szCs w:val="28"/>
        </w:rPr>
      </w:r>
    </w:p>
    <w:p>
      <w:pPr>
        <w:ind w:firstLine="709"/>
        <w:jc w:val="both"/>
        <w:tabs>
          <w:tab w:val="left" w:pos="1701" w:leader="none"/>
        </w:tabs>
        <w:rPr>
          <w:sz w:val="28"/>
          <w:szCs w:val="28"/>
        </w:rPr>
      </w:pPr>
      <w:r>
        <w:rPr>
          <w:color w:val="000000"/>
          <w:sz w:val="28"/>
          <w:szCs w:val="28"/>
        </w:rPr>
        <w:t xml:space="preserve">Совместное хранение ЛВЖ и ГЖ в таре в одном помещении разрешается при их общем количестве не более 200 м</w:t>
      </w:r>
      <w:r>
        <w:rPr>
          <w:color w:val="000000"/>
          <w:sz w:val="28"/>
          <w:szCs w:val="28"/>
          <w:vertAlign w:val="superscript"/>
        </w:rPr>
        <w:t xml:space="preserve">3</w:t>
      </w:r>
      <w:r>
        <w:rPr>
          <w:color w:val="000000"/>
          <w:sz w:val="28"/>
          <w:szCs w:val="28"/>
        </w:rPr>
        <w:t xml:space="preserve">.</w:t>
      </w:r>
      <w:r>
        <w:rPr>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Хранить жидкости разрешается только в исправной таре. Пролитая жидкость должна немедленно убираться.</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Открытые площадки для хранения нефтепродуктов в таре должны быть огорожены земляным валом или негорючей сплошной стенкой высотой не менее 0,5 м с пандусами для прохода на площадки.</w:t>
      </w:r>
      <w:r>
        <w:rPr>
          <w:rFonts w:ascii="Times New Roman" w:hAnsi="Times New Roman" w:cs="Times New Roman"/>
          <w:sz w:val="28"/>
          <w:szCs w:val="28"/>
        </w:rPr>
      </w:r>
    </w:p>
    <w:p>
      <w:pPr>
        <w:pStyle w:val="1142"/>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Площадки должны возвышаться на 0,2 м над прилегающей территорией и быть окружены кюветом для отвода сточных вод.</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В пределах одной обвалованной площадки допускается размещать не более 4 штабелей бочек размером 25 х 15 м с разрывами между штабелями не менее 10 м, а между штабелем и валом (стенкой) – не менее 5 м.</w:t>
      </w:r>
      <w:r>
        <w:rPr>
          <w:rFonts w:ascii="Times New Roman" w:hAnsi="Times New Roman" w:cs="Times New Roman"/>
          <w:sz w:val="28"/>
          <w:szCs w:val="28"/>
        </w:rPr>
      </w:r>
    </w:p>
    <w:p>
      <w:pPr>
        <w:pStyle w:val="1142"/>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Разрывы между штабелями двух смежных площадок должны быть не менее 20 м.</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При хранении горючих материалов на открытой площадке (за исключением негорючих материалов в горючей упаковке) площадь одной секции (штабеля) не должна превышать 300 кв. метров, а противопожарные расстояния между штабелями должны быть не менее 8 метров.</w:t>
      </w:r>
      <w:r>
        <w:rPr>
          <w:rFonts w:ascii="Times New Roman" w:hAnsi="Times New Roman" w:cs="Times New Roman"/>
          <w:sz w:val="28"/>
          <w:szCs w:val="28"/>
        </w:rPr>
      </w:r>
    </w:p>
    <w:p>
      <w:pPr>
        <w:pStyle w:val="1142"/>
        <w:numPr>
          <w:ilvl w:val="2"/>
          <w:numId w:val="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Баллоны с горючими газами, емкости (бутылки,</w:t>
      </w:r>
      <w:r>
        <w:rPr>
          <w:rFonts w:ascii="Times New Roman" w:hAnsi="Times New Roman" w:cs="Times New Roman"/>
          <w:color w:val="000000"/>
          <w:sz w:val="28"/>
          <w:szCs w:val="28"/>
        </w:rPr>
        <w:t xml:space="preserve"> бутыли, другая тара) с ЛВЖ и ГЖ, а также аэрозольные упаковки должны быть защищены от солнечного и иного теплового воздействия. На открытых площадках или под навесами хранение аэрозольных упаковок допускается только в контейнерах из негорючих материалов. </w:t>
      </w:r>
      <w:r>
        <w:rPr>
          <w:rFonts w:ascii="Times New Roman" w:hAnsi="Times New Roman" w:cs="Times New Roman"/>
          <w:sz w:val="28"/>
          <w:szCs w:val="28"/>
        </w:rPr>
      </w:r>
    </w:p>
    <w:p>
      <w:pPr>
        <w:pStyle w:val="1142"/>
        <w:ind w:left="851"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1142"/>
        <w:numPr>
          <w:ilvl w:val="1"/>
          <w:numId w:val="17"/>
        </w:numPr>
        <w:ind w:left="0" w:firstLine="709"/>
        <w:jc w:val="both"/>
        <w:tabs>
          <w:tab w:val="left" w:pos="1418" w:leader="none"/>
        </w:tabs>
        <w:rPr>
          <w:rFonts w:ascii="Times New Roman" w:hAnsi="Times New Roman" w:cs="Times New Roman"/>
          <w:b/>
          <w:sz w:val="28"/>
          <w:szCs w:val="28"/>
        </w:rPr>
        <w:outlineLvl w:val="1"/>
      </w:pPr>
      <w:r>
        <w:rPr>
          <w:rFonts w:ascii="Times New Roman" w:hAnsi="Times New Roman" w:cs="Times New Roman"/>
          <w:b/>
          <w:sz w:val="28"/>
          <w:szCs w:val="28"/>
        </w:rPr>
        <w:t xml:space="preserve"> </w:t>
      </w:r>
      <w:bookmarkStart w:id="84" w:name="Склады_лаков_красок_6_2"/>
      <w:r/>
      <w:bookmarkStart w:id="85" w:name="_Toc112328572"/>
      <w:r/>
      <w:bookmarkStart w:id="86" w:name="_Toc124499108"/>
      <w:r>
        <w:rPr>
          <w:rFonts w:ascii="Times New Roman" w:hAnsi="Times New Roman" w:cs="Times New Roman"/>
          <w:b/>
          <w:sz w:val="28"/>
          <w:szCs w:val="28"/>
        </w:rPr>
        <w:t xml:space="preserve">Склады лаков, красок и химических реактивов</w:t>
      </w:r>
      <w:bookmarkEnd w:id="84"/>
      <w:r/>
      <w:bookmarkEnd w:id="85"/>
      <w:r/>
      <w:bookmarkEnd w:id="86"/>
      <w:r/>
      <w:r>
        <w:rPr>
          <w:rFonts w:ascii="Times New Roman" w:hAnsi="Times New Roman" w:cs="Times New Roman"/>
          <w:b/>
          <w:sz w:val="28"/>
          <w:szCs w:val="28"/>
        </w:rPr>
      </w:r>
    </w:p>
    <w:p>
      <w:pPr>
        <w:pStyle w:val="1142"/>
        <w:ind w:left="851" w:firstLine="709"/>
        <w:jc w:val="both"/>
        <w:tabs>
          <w:tab w:val="left" w:pos="1560" w:leader="non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Лаки, краски, олифа, различные растворители должны храниться (при соблюдении принципа однородности продукта) в металлических бочках, банках и других емкостях с плотно закрытыми крышками в отдельных помещениях или отсеках склада (боксах).</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Металлические порошки, способные самовозгораться (алюминиевая пудра, магниевый порошок и т.п.), должны храниться в металлических банках с плотно закрытыми крышками в сухих помещениях отдельно от других горючих веществ и материалов. </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хранить нитролаки, нитрокраски и растворители в подвальных помещениях.</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Хранение и отпуск лаков и красок должны производиться в отдельном помещении, оборудованном электроосвещением и вентиляцией во взрывобезопасном исполнении.</w:t>
      </w:r>
      <w:r>
        <w:rPr>
          <w:rFonts w:ascii="Times New Roman" w:hAnsi="Times New Roman" w:cs="Times New Roman"/>
          <w:sz w:val="28"/>
          <w:szCs w:val="28"/>
        </w:rPr>
      </w:r>
    </w:p>
    <w:p>
      <w:pPr>
        <w:pStyle w:val="1142"/>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налива (расфасовки) лаков, красок и растворителей должны использоваться специальные ручные насосы, мерники или другие средства малой механизации.</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Пролитая олифа, краска или лак должны быть немедленно удалены, а место разлива очищено. Обтирочные материалы необходимо убирать из склада.</w:t>
      </w:r>
      <w:r>
        <w:rPr>
          <w:rFonts w:ascii="Times New Roman" w:hAnsi="Times New Roman" w:cs="Times New Roman"/>
          <w:sz w:val="28"/>
          <w:szCs w:val="28"/>
        </w:rPr>
      </w:r>
    </w:p>
    <w:p>
      <w:pPr>
        <w:pStyle w:val="1142"/>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в помещениях склада, в том числе приготовительных красок, использовать сгораемые материалы для покрытия пола.</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вскрытия бочек с нитролаками и нитрокрасками должен применяться инструмент, не вызывающий искрообразования при трении и ударах.</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Пустая тара из-под лакокрасочных материалов должна храниться только на изолированных огражденных площадках или в отдельном помещении (боксе) склада, приспособленного для этой цели и имеющего естественную вентиляцию.</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 наружной стороны ворот (дверей) склада или помещения (бокса), в котором хранятся взрыво- и пожароопасные </w:t>
      </w:r>
      <w:r>
        <w:rPr>
          <w:rFonts w:ascii="Times New Roman" w:hAnsi="Times New Roman" w:cs="Times New Roman"/>
          <w:color w:val="000000"/>
          <w:sz w:val="28"/>
          <w:szCs w:val="28"/>
        </w:rPr>
        <w:t xml:space="preserve">материалы, вещества (лаки, краски, растворители, химические вещества и т.п.), должны быть вывешены соответствующие знаки пожарной безопасности.</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Химические реактивы, склонные к самовозгоранию при контакте с воздухом, водой, горючими веществами или способные образовывать взрывоопасные смеси, должны храниться в специальных помещениях и таре, исключающих возможность такого контакта.</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помещениях, в которых хранятся химические вещества, способные плавиться при пожаре, должны быть предусмотрены меры для ограничения свободного растекания расплава (бортики, высокие пороги, приямки и т.п.).</w:t>
      </w:r>
      <w:r>
        <w:rPr>
          <w:rFonts w:ascii="Times New Roman" w:hAnsi="Times New Roman" w:cs="Times New Roman"/>
          <w:sz w:val="28"/>
          <w:szCs w:val="28"/>
        </w:rPr>
      </w:r>
    </w:p>
    <w:p>
      <w:pPr>
        <w:pStyle w:val="1142"/>
        <w:ind w:left="0" w:firstLine="709"/>
        <w:jc w:val="both"/>
        <w:tabs>
          <w:tab w:val="left" w:pos="0"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складах (отсеках), где хранятся кислоты, должны быть в наличии готовые растворы мела, извести, соды для нейтрализации.</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Первичные средства пожаротушения в складских помещениях должны устанавливаться у входа.</w:t>
      </w:r>
      <w:r>
        <w:rPr>
          <w:rFonts w:ascii="Times New Roman" w:hAnsi="Times New Roman" w:cs="Times New Roman"/>
          <w:sz w:val="28"/>
          <w:szCs w:val="28"/>
        </w:rPr>
      </w:r>
    </w:p>
    <w:p>
      <w:pPr>
        <w:pStyle w:val="1142"/>
        <w:ind w:left="0" w:firstLine="709"/>
        <w:jc w:val="both"/>
        <w:tabs>
          <w:tab w:val="left" w:pos="0"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загромождать (даже временно) проходы и подступы к средствам пожаротушения.</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Сильнодействующие ядовитые вещества должны храниться в соответствии с существующими для них специальными правилами. </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хранении азотной и серной кислот должно быть исключено их соприкосновение с древесиной, соломой и другими веществами органического происхождения.</w:t>
      </w:r>
      <w:r>
        <w:rPr>
          <w:rFonts w:ascii="Times New Roman" w:hAnsi="Times New Roman" w:cs="Times New Roman"/>
          <w:sz w:val="28"/>
          <w:szCs w:val="28"/>
        </w:rPr>
      </w:r>
    </w:p>
    <w:p>
      <w:pPr>
        <w:pStyle w:val="1142"/>
        <w:numPr>
          <w:ilvl w:val="2"/>
          <w:numId w:val="18"/>
        </w:numPr>
        <w:ind w:left="0" w:firstLine="709"/>
        <w:jc w:val="both"/>
        <w:tabs>
          <w:tab w:val="left" w:pos="0" w:leader="none"/>
          <w:tab w:val="left" w:pos="1560"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эксплуатация складских помещений с лакокрасочными материалами при неисправной приточно-вытяжной вентиляции.</w:t>
      </w:r>
      <w:r>
        <w:rPr>
          <w:rFonts w:ascii="Times New Roman" w:hAnsi="Times New Roman" w:cs="Times New Roman"/>
          <w:sz w:val="28"/>
          <w:szCs w:val="28"/>
        </w:rPr>
      </w:r>
    </w:p>
    <w:p>
      <w:pPr>
        <w:ind w:firstLine="709"/>
        <w:jc w:val="both"/>
        <w:tabs>
          <w:tab w:val="left" w:pos="1560" w:leader="none"/>
          <w:tab w:val="left" w:pos="1843" w:leader="none"/>
        </w:tabs>
      </w:pPr>
      <w:r/>
      <w:r/>
    </w:p>
    <w:p>
      <w:pPr>
        <w:pStyle w:val="1142"/>
        <w:numPr>
          <w:ilvl w:val="1"/>
          <w:numId w:val="17"/>
        </w:numPr>
        <w:ind w:left="0" w:firstLine="709"/>
        <w:jc w:val="both"/>
        <w:tabs>
          <w:tab w:val="left" w:pos="1276" w:leader="none"/>
        </w:tabs>
        <w:rPr>
          <w:rFonts w:ascii="Times New Roman" w:hAnsi="Times New Roman" w:cs="Times New Roman"/>
          <w:b/>
          <w:sz w:val="28"/>
          <w:szCs w:val="28"/>
        </w:rPr>
        <w:outlineLvl w:val="1"/>
      </w:pPr>
      <w:r/>
      <w:bookmarkStart w:id="87" w:name="_Toc112328573"/>
      <w:r/>
      <w:bookmarkStart w:id="88" w:name="_Toc124499109"/>
      <w:r/>
      <w:bookmarkStart w:id="89" w:name="Склады_баллонов_с_газами_6_3"/>
      <w:r>
        <w:rPr>
          <w:rFonts w:ascii="Times New Roman" w:hAnsi="Times New Roman" w:cs="Times New Roman"/>
          <w:b/>
          <w:sz w:val="28"/>
          <w:szCs w:val="28"/>
        </w:rPr>
        <w:t xml:space="preserve">Склады баллонов с газами</w:t>
      </w:r>
      <w:bookmarkEnd w:id="87"/>
      <w:r/>
      <w:bookmarkEnd w:id="88"/>
      <w:r/>
      <w:bookmarkEnd w:id="89"/>
      <w:r>
        <w:rPr>
          <w:rFonts w:ascii="Times New Roman" w:hAnsi="Times New Roman" w:cs="Times New Roman"/>
          <w:b/>
          <w:sz w:val="28"/>
          <w:szCs w:val="28"/>
        </w:rPr>
      </w:r>
    </w:p>
    <w:p>
      <w:pPr>
        <w:pStyle w:val="1142"/>
        <w:ind w:left="0" w:firstLine="709"/>
        <w:jc w:val="both"/>
        <w:tabs>
          <w:tab w:val="left" w:pos="1560" w:leader="non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p>
    <w:p>
      <w:pPr>
        <w:pStyle w:val="1142"/>
        <w:numPr>
          <w:ilvl w:val="2"/>
          <w:numId w:val="1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Баллоны с газами должны храниться в специальных складах или на площадках, защищенных от воздействия осадков и солнечных лучей.</w:t>
      </w:r>
      <w:r>
        <w:rPr>
          <w:rFonts w:ascii="Times New Roman" w:hAnsi="Times New Roman" w:cs="Times New Roman"/>
          <w:sz w:val="28"/>
          <w:szCs w:val="28"/>
        </w:rPr>
      </w:r>
    </w:p>
    <w:p>
      <w:pPr>
        <w:pStyle w:val="1142"/>
        <w:numPr>
          <w:ilvl w:val="2"/>
          <w:numId w:val="19"/>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Склады для хранения баллонов с горючими газами должны быть одноэтаж</w:t>
      </w:r>
      <w:r>
        <w:rPr>
          <w:rFonts w:ascii="Times New Roman" w:hAnsi="Times New Roman" w:cs="Times New Roman"/>
          <w:sz w:val="28"/>
          <w:szCs w:val="28"/>
        </w:rPr>
        <w:t xml:space="preserve">ными из несгораемых строительных конструкций и не иметь чердачных помещений. Запрещается применение сгораемых материалов для покрытия пола складов с баллонами. Полы должны исключать искрообразование при перекатывании или падении баллонов с горючими газами.</w:t>
      </w:r>
      <w:r>
        <w:rPr>
          <w:rFonts w:ascii="Times New Roman" w:hAnsi="Times New Roman" w:cs="Times New Roman"/>
          <w:sz w:val="28"/>
          <w:szCs w:val="28"/>
        </w:rPr>
      </w:r>
    </w:p>
    <w:p>
      <w:pPr>
        <w:pStyle w:val="1142"/>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защиты от прямого воздействия солнечных лучей на баллоны необходимо оборудовать солнцезащитные устройства.</w:t>
      </w:r>
      <w:r>
        <w:rPr>
          <w:rFonts w:ascii="Times New Roman" w:hAnsi="Times New Roman" w:cs="Times New Roman"/>
          <w:sz w:val="28"/>
          <w:szCs w:val="28"/>
        </w:rPr>
      </w:r>
    </w:p>
    <w:p>
      <w:pPr>
        <w:pStyle w:val="1194"/>
        <w:numPr>
          <w:ilvl w:val="0"/>
          <w:numId w:val="10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Окна помещений, где хранятся баллоны с газом, закрашиваются белой краской или оборудуются солнцезащитными устройствами из негорючих материалов;</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хранении баллонов на открытых площадках, сооружения, защищающие их от воздействия осадков и солнечных лучей, должны быть из негорючих материалов.</w:t>
      </w:r>
      <w:r>
        <w:rPr>
          <w:rFonts w:ascii="Times New Roman" w:hAnsi="Times New Roman"/>
          <w:sz w:val="28"/>
          <w:szCs w:val="28"/>
        </w:rPr>
        <w:t xml:space="preserve"> При использовании и хранении баллонов не допускается их установка в местах прохода людей, перемещения грузов и проезда транспортных средств.</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Баллоны с горючими газами должны храниться отдельно от баллонов с кислородом, сжатым воздухом, хлором, фтором и другими окислителями, а также от токсичных газов. Наружная поверхность баллонов должна быть окрашена в установленный для данного газа цвет.</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Размеще</w:t>
      </w:r>
      <w:r>
        <w:rPr>
          <w:rFonts w:ascii="Times New Roman" w:hAnsi="Times New Roman" w:cs="Times New Roman"/>
          <w:sz w:val="28"/>
          <w:szCs w:val="28"/>
        </w:rPr>
        <w:t xml:space="preserve">ние групповых баллонных установок допускается у глухих (не имеющих проемов) наружных стен зданий. Шкафы, где размещаются баллоны, должны выполнятся из негорючих материалов и иметь естественную вентиляцию, исключающую образование в них взрывоопасных смесей.</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хранении транспортировке баллонов с кислородом нельзя допускать попадания на них жира и соприкосновения арматуры с промасленными материалами.</w:t>
      </w:r>
      <w:r>
        <w:rPr>
          <w:rFonts w:ascii="Times New Roman" w:hAnsi="Times New Roman" w:cs="Times New Roman"/>
          <w:sz w:val="28"/>
          <w:szCs w:val="28"/>
        </w:rPr>
      </w:r>
    </w:p>
    <w:p>
      <w:pPr>
        <w:pStyle w:val="1142"/>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перекантовке баллонов с кислородом вручную запрещается браться за вентили.</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Баллоны, в которых обнаружена утечка газа, должны немедленно убираться со склада в безопасное место.</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склад, где размещаются баллоны с горючим газом, не допускаются лица в обуви, подбитой металлическими гвоздями или подковами;</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Освещение складов для баллонов с горючими газами должно быть только электрическое во взрывобезопасном исполнении. Отключающие устройства (автоматы, рубильники и т.п.), осветительная арматура и предохранители должны быть вынесены наружу.</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помещениях склада естественная или искусственная вентиляция должна находиться в работоспособном состоянии.</w:t>
      </w:r>
      <w:r>
        <w:rPr>
          <w:rFonts w:ascii="Times New Roman" w:hAnsi="Times New Roman" w:cs="Times New Roman"/>
          <w:sz w:val="28"/>
          <w:szCs w:val="28"/>
        </w:rPr>
      </w:r>
    </w:p>
    <w:p>
      <w:pPr>
        <w:pStyle w:val="1142"/>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эксплуатация закрытых складов баллонов с горючими газами при неисправных системах вентиляции помещений этого склада.</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Наполненные баллоны с горючими газами в</w:t>
      </w:r>
      <w:r>
        <w:rPr>
          <w:rFonts w:ascii="Times New Roman" w:hAnsi="Times New Roman" w:cs="Times New Roman"/>
          <w:sz w:val="28"/>
          <w:szCs w:val="28"/>
        </w:rPr>
        <w:t xml:space="preserve"> рабочем положении и при хранении, должны находиться в вертикальном положении, для чего открытые и закрытые склады оборудуются «гнездами» или другими устройствами, предохраняющими баллоны от падения. Наполненные и пустые баллоны должны храниться раздельно.</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хранении на открытых площадках разрешается укладка баллонов в штабеля с прокладками из веревки, деревянных брусьев или резины между горизонтальными рядами. Допускается надевать на баллоны по два веревочных или резиновых кольца.</w:t>
      </w:r>
      <w:r>
        <w:rPr>
          <w:rFonts w:ascii="Times New Roman" w:hAnsi="Times New Roman" w:cs="Times New Roman"/>
          <w:sz w:val="28"/>
          <w:szCs w:val="28"/>
        </w:rPr>
      </w:r>
    </w:p>
    <w:p>
      <w:pPr>
        <w:pStyle w:val="1142"/>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Вертикальное и горизонтальное хранение баллонов может быть контейнерное (пакетами).</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горизонтальном хранении баллонов количество рядов в штабеле должно быть не более пяти (по высоте), а вентили всех баллонов должны закрываться предохранительными колпаками и должны быть обращены в одну сторону. </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Помещения складов с горючим газом обеспечиваются естественной вентиляцией.</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Отопление помещений должно быть только центральное (паровое или водяное). Ба</w:t>
      </w:r>
      <w:r>
        <w:rPr>
          <w:rFonts w:ascii="Times New Roman" w:hAnsi="Times New Roman" w:cs="Times New Roman"/>
          <w:sz w:val="28"/>
          <w:szCs w:val="28"/>
        </w:rPr>
        <w:t xml:space="preserve">ллоны с газом, установленные в отапливаемых помещениях, должны находиться от радиаторов отопления на расстоянии не менее 1 м, а от других интенсивных источников излучения тепла и очагов с открытым огнем (при ремонтных работах) — на расстоянии не менее 5 м.</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хранении и транспортировке баллонов со сжатыми газами предохранительные колпаки должны быть навинчены на головки баллонов для предохранения вентилей от ударов.</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Запрещаются установка битумоварок, разведение костров и хранение горючих материалов в радиусе 50 м вокруг складов с баллонами.</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Склады баллонов с горючими газами должны находиться в зоне молниезащиты. При невозможности выполнения этого условия необходимо применять индивидуальную молниезащиту.</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дверях складов баллонов с газами при хранении их в зданиях, в пристройках зданий или на отрытых площадках необходимо вывешивать предупреждающие знаки в соответствии с требованиями государственных стандартов.</w:t>
      </w:r>
      <w:r>
        <w:rPr>
          <w:rFonts w:ascii="Times New Roman" w:hAnsi="Times New Roman" w:cs="Times New Roman"/>
          <w:sz w:val="28"/>
          <w:szCs w:val="28"/>
        </w:rPr>
      </w:r>
    </w:p>
    <w:p>
      <w:pPr>
        <w:pStyle w:val="1142"/>
        <w:numPr>
          <w:ilvl w:val="2"/>
          <w:numId w:val="2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w:t>
      </w:r>
      <w:r>
        <w:rPr>
          <w:rFonts w:ascii="Times New Roman" w:hAnsi="Times New Roman" w:cs="Times New Roman"/>
          <w:sz w:val="28"/>
          <w:szCs w:val="28"/>
        </w:rPr>
      </w:r>
    </w:p>
    <w:p>
      <w:pPr>
        <w:pStyle w:val="1142"/>
        <w:numPr>
          <w:ilvl w:val="0"/>
          <w:numId w:val="6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какие-либо посторонние вещества, материалы, оборудование, предметы в складах баллонов с горючими газами.</w:t>
      </w:r>
      <w:r>
        <w:rPr>
          <w:rFonts w:ascii="Times New Roman" w:hAnsi="Times New Roman" w:cs="Times New Roman"/>
          <w:sz w:val="28"/>
          <w:szCs w:val="28"/>
        </w:rPr>
      </w:r>
    </w:p>
    <w:p>
      <w:pPr>
        <w:pStyle w:val="1142"/>
        <w:numPr>
          <w:ilvl w:val="0"/>
          <w:numId w:val="6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в одном помещении баллоны с кислородом и с горючими газами и баллоны с газами, которые могут образовывать взрывоопасные смеси.</w:t>
      </w:r>
      <w:r>
        <w:rPr>
          <w:rFonts w:ascii="Times New Roman" w:hAnsi="Times New Roman" w:cs="Times New Roman"/>
          <w:sz w:val="28"/>
          <w:szCs w:val="28"/>
        </w:rPr>
      </w:r>
    </w:p>
    <w:p>
      <w:pPr>
        <w:pStyle w:val="1142"/>
        <w:numPr>
          <w:ilvl w:val="0"/>
          <w:numId w:val="6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Допускать попадание масла на баллоны с кислородом, а также соприкосновение арматуры кислородных баллонов с промасленными </w:t>
      </w:r>
      <w:r>
        <w:rPr>
          <w:rFonts w:ascii="Times New Roman" w:hAnsi="Times New Roman" w:cs="Times New Roman"/>
          <w:sz w:val="28"/>
          <w:szCs w:val="28"/>
        </w:rPr>
        <w:t xml:space="preserve">материалами.</w:t>
      </w:r>
      <w:r>
        <w:rPr>
          <w:rFonts w:ascii="Times New Roman" w:hAnsi="Times New Roman" w:cs="Times New Roman"/>
          <w:sz w:val="28"/>
          <w:szCs w:val="28"/>
        </w:rPr>
      </w:r>
    </w:p>
    <w:p>
      <w:pPr>
        <w:pStyle w:val="1142"/>
        <w:numPr>
          <w:ilvl w:val="0"/>
          <w:numId w:val="6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Транспортировать и хранить баллоны с газами без предохранительных колпаков и навинченных на штуцеры заглушек.</w:t>
      </w:r>
      <w:r>
        <w:rPr>
          <w:rFonts w:ascii="Times New Roman" w:hAnsi="Times New Roman" w:cs="Times New Roman"/>
          <w:sz w:val="28"/>
          <w:szCs w:val="28"/>
        </w:rPr>
      </w:r>
    </w:p>
    <w:p>
      <w:pPr>
        <w:pStyle w:val="1142"/>
        <w:numPr>
          <w:ilvl w:val="0"/>
          <w:numId w:val="6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баллоны с поврежденным корпусом (вмятинами, трещинами, коррозией и т.п.), а также с истекшим сроком периодического освидетельствования.</w:t>
      </w:r>
      <w:r>
        <w:rPr>
          <w:rFonts w:ascii="Times New Roman" w:hAnsi="Times New Roman" w:cs="Times New Roman"/>
          <w:sz w:val="28"/>
          <w:szCs w:val="28"/>
        </w:rPr>
      </w:r>
    </w:p>
    <w:p>
      <w:pPr>
        <w:pStyle w:val="1142"/>
        <w:numPr>
          <w:ilvl w:val="0"/>
          <w:numId w:val="6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баллоны с горючими газами и окислителями в помещениях, не являющихся специальными складами баллонов.</w:t>
      </w:r>
      <w:r>
        <w:rPr>
          <w:rFonts w:ascii="Times New Roman" w:hAnsi="Times New Roman" w:cs="Times New Roman"/>
          <w:sz w:val="28"/>
          <w:szCs w:val="28"/>
        </w:rPr>
      </w:r>
    </w:p>
    <w:p>
      <w:pPr>
        <w:pStyle w:val="1142"/>
        <w:numPr>
          <w:ilvl w:val="0"/>
          <w:numId w:val="6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Ударять баллоны друг о друга при погрузке, разгрузке и хранении, допускать падение колпаков и баллонов на пол.</w:t>
      </w:r>
      <w:r>
        <w:rPr>
          <w:rFonts w:ascii="Times New Roman" w:hAnsi="Times New Roman" w:cs="Times New Roman"/>
          <w:sz w:val="28"/>
          <w:szCs w:val="28"/>
        </w:rPr>
      </w:r>
    </w:p>
    <w:p>
      <w:pPr>
        <w:jc w:val="both"/>
        <w:tabs>
          <w:tab w:val="left" w:pos="0" w:leader="none"/>
          <w:tab w:val="left" w:pos="1276" w:leader="none"/>
        </w:tabs>
        <w:rPr>
          <w:sz w:val="28"/>
          <w:szCs w:val="28"/>
        </w:rPr>
      </w:pPr>
      <w:r>
        <w:rPr>
          <w:sz w:val="28"/>
          <w:szCs w:val="28"/>
        </w:rPr>
      </w:r>
      <w:r>
        <w:rPr>
          <w:sz w:val="28"/>
          <w:szCs w:val="28"/>
        </w:rPr>
      </w:r>
    </w:p>
    <w:p>
      <w:pPr>
        <w:jc w:val="both"/>
        <w:tabs>
          <w:tab w:val="left" w:pos="0" w:leader="none"/>
          <w:tab w:val="left" w:pos="1276" w:leader="none"/>
        </w:tabs>
        <w:rPr>
          <w:sz w:val="28"/>
          <w:szCs w:val="28"/>
        </w:rPr>
      </w:pPr>
      <w:r>
        <w:rPr>
          <w:sz w:val="28"/>
          <w:szCs w:val="28"/>
        </w:rPr>
      </w:r>
      <w:r>
        <w:rPr>
          <w:sz w:val="28"/>
          <w:szCs w:val="28"/>
        </w:rPr>
      </w:r>
    </w:p>
    <w:p>
      <w:pPr>
        <w:pStyle w:val="1180"/>
        <w:numPr>
          <w:ilvl w:val="0"/>
          <w:numId w:val="108"/>
        </w:numPr>
        <w:ind w:left="0" w:firstLine="709"/>
        <w:jc w:val="both"/>
        <w:spacing w:before="0" w:beforeAutospacing="0" w:after="0" w:afterAutospacing="0"/>
        <w:tabs>
          <w:tab w:val="left" w:pos="1418" w:leader="none"/>
        </w:tabs>
        <w:rPr>
          <w:b/>
          <w:sz w:val="28"/>
          <w:szCs w:val="28"/>
        </w:rPr>
        <w:outlineLvl w:val="0"/>
      </w:pPr>
      <w:r/>
      <w:bookmarkStart w:id="90" w:name="Автотранспортное_хоз_во_7"/>
      <w:r/>
      <w:bookmarkStart w:id="91" w:name="_Toc124499110"/>
      <w:r>
        <w:rPr>
          <w:b/>
          <w:sz w:val="28"/>
          <w:szCs w:val="28"/>
        </w:rPr>
        <w:t xml:space="preserve">Автотранспортное хозяйство</w:t>
      </w:r>
      <w:bookmarkEnd w:id="90"/>
      <w:r/>
      <w:bookmarkEnd w:id="91"/>
      <w:r/>
      <w:r>
        <w:rPr>
          <w:b/>
          <w:sz w:val="28"/>
          <w:szCs w:val="28"/>
        </w:rPr>
      </w:r>
    </w:p>
    <w:p>
      <w:pPr>
        <w:pStyle w:val="1180"/>
        <w:ind w:left="851" w:firstLine="709"/>
        <w:jc w:val="both"/>
        <w:spacing w:before="0" w:beforeAutospacing="0" w:after="0" w:afterAutospacing="0"/>
        <w:tabs>
          <w:tab w:val="left" w:pos="1134" w:leader="none"/>
        </w:tabs>
        <w:rPr>
          <w:b/>
        </w:rPr>
      </w:pPr>
      <w:r>
        <w:rPr>
          <w:b/>
        </w:rPr>
      </w:r>
      <w:r>
        <w:rPr>
          <w:b/>
        </w:rPr>
      </w:r>
    </w:p>
    <w:p>
      <w:pPr>
        <w:pStyle w:val="1142"/>
        <w:numPr>
          <w:ilvl w:val="1"/>
          <w:numId w:val="20"/>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В помещениях</w:t>
      </w:r>
      <w:r>
        <w:rPr>
          <w:rFonts w:ascii="Times New Roman" w:hAnsi="Times New Roman" w:cs="Times New Roman"/>
          <w:color w:val="000000"/>
          <w:sz w:val="28"/>
          <w:szCs w:val="28"/>
        </w:rPr>
        <w:t xml:space="preserve"> для хранения (стоянки) транспорта и на площадках открытого хранения транспортных средств объектов АТП в количестве 25 единиц и более, должны быть разработаны планы расстановки транспортных средств с описанием очередности и порядка их эвакуации при пожаре.</w:t>
      </w:r>
      <w:r>
        <w:rPr>
          <w:rFonts w:ascii="Times New Roman" w:hAnsi="Times New Roman" w:cs="Times New Roman"/>
          <w:color w:val="000000"/>
          <w:sz w:val="28"/>
          <w:szCs w:val="28"/>
        </w:rPr>
      </w:r>
    </w:p>
    <w:p>
      <w:pPr>
        <w:pStyle w:val="1142"/>
        <w:numPr>
          <w:ilvl w:val="1"/>
          <w:numId w:val="20"/>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Помещения и площадки открытого хранения транспортных средств (кроме индивидуальных) должны быть оснащены буксирными тросами и штангами из расчета 1 трос (штанга) на 10 единиц техники.</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В помещениях </w:t>
      </w:r>
      <w:r>
        <w:rPr>
          <w:rFonts w:ascii="Times New Roman" w:hAnsi="Times New Roman" w:cs="Times New Roman"/>
          <w:sz w:val="28"/>
          <w:szCs w:val="28"/>
        </w:rPr>
        <w:t xml:space="preserve">и сооружениях</w:t>
      </w:r>
      <w:r>
        <w:rPr>
          <w:rFonts w:ascii="Times New Roman" w:hAnsi="Times New Roman" w:cs="Times New Roman"/>
          <w:color w:val="000000"/>
          <w:sz w:val="28"/>
          <w:szCs w:val="28"/>
        </w:rPr>
        <w:t xml:space="preserve">, под навесами и на открытых площадках хранения транспорта запрещается:</w:t>
      </w:r>
      <w:r>
        <w:rPr>
          <w:rFonts w:ascii="Times New Roman" w:hAnsi="Times New Roman" w:cs="Times New Roman"/>
          <w:color w:val="000000"/>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Устанавливать ТС в количестве, превышающем предусмотренное в проектной документации, нарушать план их расстановки, уменьшать расстояние между ТС.</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Загромождать выездные ворота и проезды оборудованием, а также остановкой (даже временной) автотранспортной техники и других машин.</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Производить кузнечные, термические, сварочные, малярные и деревоотделочные работы, а также промывку деталей с использованием ЛВЖ и ГЖ.</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Оставлять транспортные средства с открытыми горловинами топливных баков, а также при наличии течи горючего и масла.</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Заправлять транспортные средства горючим и сливать из них топливо.</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пустую тару из-под лаков, ЛВЖ и ГЖ, а также емкости с горючим</w:t>
      </w:r>
      <w:r>
        <w:rPr>
          <w:rFonts w:ascii="Times New Roman" w:hAnsi="Times New Roman" w:cs="Times New Roman"/>
          <w:sz w:val="28"/>
          <w:szCs w:val="28"/>
        </w:rPr>
        <w:t xml:space="preserve"> (бензином, дизельным топливом, газом и т.п.), за исключением топлива в баках и баллонах, стационарно установленных на автомобилях и тракторах, а также другие горючие материалы (резиновые камеры и покрышки для автомобилей, пилостружечные материалы и т.д.).</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Оставлять в кабинах и у механизмов промасленные обтирочные тряпки (ветошь) и спецодежду.</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Подзаряжать аккумуляторы непосредственно на транспортных </w:t>
      </w:r>
      <w:r>
        <w:rPr>
          <w:rFonts w:ascii="Times New Roman" w:hAnsi="Times New Roman" w:cs="Times New Roman"/>
          <w:color w:val="000000"/>
          <w:sz w:val="28"/>
          <w:szCs w:val="28"/>
        </w:rPr>
        <w:t xml:space="preserve">средствах.</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Подогревать двигатели открытым огнем (костры, факелы, паяльные лампы), пользоваться открытыми источниками огня для освещения.</w:t>
      </w:r>
      <w:r>
        <w:rPr>
          <w:rFonts w:ascii="Times New Roman" w:hAnsi="Times New Roman" w:cs="Times New Roman"/>
          <w:sz w:val="28"/>
          <w:szCs w:val="28"/>
        </w:rPr>
      </w:r>
    </w:p>
    <w:p>
      <w:pPr>
        <w:pStyle w:val="1142"/>
        <w:numPr>
          <w:ilvl w:val="1"/>
          <w:numId w:val="6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Устанавливать транспортные средства для перевозки ЛВЖ и ГЖ, а также ГГ. Стоянка ТС, перевозящих ЛВЖ и ГЖ, должна быть организована в отдельном боксе или на отдельной площадке.</w:t>
      </w:r>
      <w:r>
        <w:rPr>
          <w:rFonts w:ascii="Times New Roman" w:hAnsi="Times New Roman" w:cs="Times New Roman"/>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облицовки стен, потолков путей эвакуации (коридоры, лестничные клетки, вестибюли, холлы и т.п.) гаражей допускается применять только негорючие сертифицированные материалы.</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Независимые отопители и подогреватели, установленные на транспортные средства</w:t>
      </w:r>
      <w:r>
        <w:rPr>
          <w:rFonts w:ascii="Times New Roman" w:hAnsi="Times New Roman" w:cs="Times New Roman"/>
          <w:color w:val="000000"/>
          <w:sz w:val="28"/>
          <w:szCs w:val="28"/>
        </w:rPr>
        <w:t xml:space="preserve"> в кабинах машинистов, водителей, фургонах</w:t>
      </w:r>
      <w:r>
        <w:rPr>
          <w:rFonts w:ascii="Times New Roman" w:hAnsi="Times New Roman" w:cs="Times New Roman"/>
          <w:color w:val="000000"/>
          <w:sz w:val="28"/>
          <w:szCs w:val="28"/>
        </w:rPr>
        <w:t xml:space="preserve"> для перевозки людей, в моторных отсеках транспортных средств для подогрева охлаждающей жидкости должны быть хорошо закреплены и иметь самостоятельную защиту. На печах и на расстоянии менее 1 м от них не допускается размещение различных горючих материалов.</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Для обеспечения безопасной эвакуации людей из приямков (канав) следует предусмотреть в качестве второго выхода установку металлических скоб на стене приямка (канавы).</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Запрещается нахождение в ночное время посторонних лиц в местах постоянной стоянки транспортных средств.</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устройстве в составе стояночных боксов (по заданию на проектирование)</w:t>
      </w:r>
      <w:r>
        <w:rPr>
          <w:rFonts w:ascii="Times New Roman" w:hAnsi="Times New Roman" w:cs="Times New Roman"/>
          <w:sz w:val="28"/>
          <w:szCs w:val="28"/>
        </w:rPr>
        <w:t xml:space="preserve"> помещений для сервисного обслуживания автомобилей (постов ТОиР, диагностирования и регулировочных работ, мойки и т.п.) следует предусматривать для этих целей отдельное здание, помещение или группу помещений. Такие помещения могут предусматриваться в стоян</w:t>
      </w:r>
      <w:r>
        <w:rPr>
          <w:rFonts w:ascii="Times New Roman" w:hAnsi="Times New Roman" w:cs="Times New Roman"/>
          <w:sz w:val="28"/>
          <w:szCs w:val="28"/>
        </w:rPr>
        <w:t xml:space="preserve">очных боксах (за исключением автостоянок открытого типа) и должны быть отделены от стояночного бокса противопожарными стенами 2-го типа и перекрытиями 3-го типа. Входы и выезды в эти помещения должны быть изолированы от входов и выездов в стояночные боксы.</w:t>
      </w:r>
      <w:r>
        <w:rPr>
          <w:rFonts w:ascii="Times New Roman" w:hAnsi="Times New Roman" w:cs="Times New Roman"/>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Во всех помещениях стоянки, ремонта и технического обслуживания ТС необходимо производить уборку мусора и отходов.</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Разлитые масло и горючее следует немедленно убирать с помощью песка и опилок. Использованный песок или опилки следует собирать в специальные металлические ящики с крышками, установленные вне помещений.</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Отработанные ГСМ должны храниться в металлических бочках в отдельных кладовых вне помещений стоянки и технического обслуживания.</w:t>
      </w:r>
      <w:r>
        <w:rPr>
          <w:rFonts w:ascii="Times New Roman" w:hAnsi="Times New Roman" w:cs="Times New Roman"/>
          <w:color w:val="000000"/>
          <w:sz w:val="28"/>
          <w:szCs w:val="28"/>
        </w:rPr>
      </w:r>
    </w:p>
    <w:p>
      <w:pPr>
        <w:pStyle w:val="1142"/>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На объектах с количеством ТС до пяти единиц хранение отработанных ГСМ допускается в кладовой для горючих и смазочных материалов.</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Порожняя тара из-под ЛВЖ должна храниться только в специально отведенных местах.</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Автомобильную резину необходимо хранить в отдельных кладовых, изолированных от других помещений. Выход из таких кладовых должен быть предусмотрен непосредственно наружу.</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Автомобили-цистерны и специально </w:t>
      </w:r>
      <w:r>
        <w:rPr>
          <w:rFonts w:ascii="Times New Roman" w:hAnsi="Times New Roman" w:cs="Times New Roman"/>
          <w:sz w:val="28"/>
          <w:szCs w:val="28"/>
        </w:rPr>
        <w:t xml:space="preserve">оборудованные автомобили, предназначенные для перевозки опасных грузов, ЛВЖ и ГЖ, должны иметь исправные глушители, заземляющее устройство, а также устройство для отключения аккумуляторной батареи автомобиля, если оно предусмотрено конструкцией автомобиля.</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ТС с пневматическими тормозными системами должны ставиться в помещение на хранение только с исправной пневматической тормозной системой, обеспечивающей возможность быстрой эвакуации ТС в случае возникновения пожара.</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Техническое состояние электрооборудования ТС должно исключать возможность искрообразования в проводах и зажимах. Все провода электрооборудования должны иметь надежную неповрежденную изоляцию.</w:t>
      </w:r>
      <w:r>
        <w:rPr>
          <w:rFonts w:ascii="Times New Roman" w:hAnsi="Times New Roman" w:cs="Times New Roman"/>
          <w:color w:val="000000"/>
          <w:sz w:val="28"/>
          <w:szCs w:val="28"/>
        </w:rPr>
      </w:r>
    </w:p>
    <w:p>
      <w:pPr>
        <w:pStyle w:val="1142"/>
        <w:numPr>
          <w:ilvl w:val="1"/>
          <w:numId w:val="20"/>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Все ТС должны быть укомплектованы огнетушителями в соответствии с требованиями нормативных документов</w:t>
      </w:r>
      <w:r>
        <w:rPr>
          <w:rFonts w:ascii="Times New Roman" w:hAnsi="Times New Roman" w:cs="Times New Roman"/>
          <w:sz w:val="28"/>
          <w:szCs w:val="28"/>
        </w:rPr>
        <w:t xml:space="preserve">.</w:t>
      </w:r>
      <w:r>
        <w:rPr>
          <w:rFonts w:ascii="Times New Roman" w:hAnsi="Times New Roman" w:cs="Times New Roman"/>
          <w:color w:val="000000"/>
          <w:sz w:val="28"/>
          <w:szCs w:val="28"/>
        </w:rPr>
      </w:r>
    </w:p>
    <w:p>
      <w:pPr>
        <w:pStyle w:val="1142"/>
        <w:numPr>
          <w:ilvl w:val="1"/>
          <w:numId w:val="20"/>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При наличии в Филиале автозаправочных станций (пунктов) для заправки автотра</w:t>
      </w:r>
      <w:r>
        <w:rPr>
          <w:rFonts w:ascii="Times New Roman" w:hAnsi="Times New Roman" w:cs="Times New Roman"/>
          <w:sz w:val="28"/>
          <w:szCs w:val="28"/>
        </w:rPr>
        <w:t xml:space="preserve">нспорта, расположенных на территориях производственных баз (участков) АТП должны выполняться требования по их безопасной эксплуатации, предъявляемые соответствующими действующими нормативными документами по пожарной безопасности и технической эксплуатации.</w:t>
      </w:r>
      <w:r>
        <w:rPr>
          <w:rFonts w:ascii="Times New Roman" w:hAnsi="Times New Roman" w:cs="Times New Roman"/>
          <w:color w:val="000000"/>
          <w:sz w:val="28"/>
          <w:szCs w:val="28"/>
        </w:rPr>
      </w:r>
    </w:p>
    <w:p>
      <w:pPr>
        <w:jc w:val="both"/>
        <w:rPr>
          <w:color w:val="000000"/>
        </w:rPr>
      </w:pPr>
      <w:r>
        <w:rPr>
          <w:color w:val="000000"/>
        </w:rPr>
      </w:r>
      <w:r>
        <w:rPr>
          <w:color w:val="000000"/>
        </w:rPr>
      </w:r>
    </w:p>
    <w:p>
      <w:pPr>
        <w:pStyle w:val="1180"/>
        <w:numPr>
          <w:ilvl w:val="0"/>
          <w:numId w:val="10"/>
        </w:numPr>
        <w:ind w:left="0" w:firstLine="709"/>
        <w:jc w:val="both"/>
        <w:spacing w:before="0" w:beforeAutospacing="0" w:after="0" w:afterAutospacing="0"/>
        <w:tabs>
          <w:tab w:val="left" w:pos="1701" w:leader="none"/>
        </w:tabs>
        <w:rPr>
          <w:b/>
          <w:sz w:val="32"/>
          <w:szCs w:val="32"/>
        </w:rPr>
        <w:outlineLvl w:val="0"/>
      </w:pPr>
      <w:r/>
      <w:bookmarkStart w:id="92" w:name="_Toc124499111"/>
      <w:r/>
      <w:bookmarkStart w:id="93" w:name="Котельное_хозяйство_8"/>
      <w:r>
        <w:rPr>
          <w:b/>
          <w:sz w:val="32"/>
          <w:szCs w:val="32"/>
        </w:rPr>
        <w:t xml:space="preserve">Котельное хозяйство</w:t>
      </w:r>
      <w:bookmarkEnd w:id="92"/>
      <w:r/>
      <w:bookmarkEnd w:id="93"/>
      <w:r>
        <w:rPr>
          <w:b/>
          <w:sz w:val="32"/>
          <w:szCs w:val="32"/>
        </w:rPr>
      </w:r>
    </w:p>
    <w:p>
      <w:pPr>
        <w:pStyle w:val="1180"/>
        <w:ind w:firstLine="709"/>
        <w:jc w:val="both"/>
        <w:spacing w:before="0" w:beforeAutospacing="0" w:after="0" w:afterAutospacing="0"/>
        <w:tabs>
          <w:tab w:val="left" w:pos="993" w:leader="none"/>
          <w:tab w:val="left" w:pos="1701" w:leader="none"/>
        </w:tabs>
        <w:rPr>
          <w:b/>
        </w:rPr>
      </w:pPr>
      <w:r>
        <w:rPr>
          <w:b/>
        </w:rPr>
      </w:r>
      <w:r>
        <w:rPr>
          <w:b/>
        </w:rPr>
      </w:r>
    </w:p>
    <w:p>
      <w:pPr>
        <w:pStyle w:val="1250"/>
        <w:numPr>
          <w:ilvl w:val="1"/>
          <w:numId w:val="10"/>
        </w:numPr>
        <w:ind w:left="0" w:firstLine="709"/>
        <w:spacing w:after="0"/>
        <w:tabs>
          <w:tab w:val="left" w:pos="1701" w:leader="none"/>
        </w:tabs>
        <w:rPr>
          <w:sz w:val="28"/>
          <w:szCs w:val="28"/>
        </w:rPr>
      </w:pPr>
      <w:r>
        <w:rPr>
          <w:sz w:val="28"/>
          <w:szCs w:val="28"/>
        </w:rPr>
        <w:t xml:space="preserve">Устройство котельных установок должно отвечать техническим требованиям по взрыво- и</w:t>
      </w:r>
      <w:r>
        <w:rPr>
          <w:b/>
          <w:sz w:val="28"/>
          <w:szCs w:val="28"/>
        </w:rPr>
        <w:t xml:space="preserve"> </w:t>
      </w:r>
      <w:r>
        <w:rPr>
          <w:sz w:val="28"/>
          <w:szCs w:val="28"/>
        </w:rPr>
        <w:t xml:space="preserve">пожаробезопасности.</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Перед пуском котла после монтажа, ремонта или длительной остановки (более 3 суток) д</w:t>
      </w:r>
      <w:r>
        <w:rPr>
          <w:sz w:val="28"/>
          <w:szCs w:val="28"/>
        </w:rPr>
        <w:t xml:space="preserve">олжны быть проверены (испытаны) и подготовлены к работе все вспомогательные механизмы, средства защиты, управления, измерения, блокировки, связи и систем пожаротушения воздухоподогревателей, а также пожарные краны на основных отметках обслуживания у котла.</w:t>
      </w:r>
      <w:r>
        <w:rPr>
          <w:sz w:val="28"/>
          <w:szCs w:val="28"/>
        </w:rPr>
      </w:r>
    </w:p>
    <w:p>
      <w:pPr>
        <w:pStyle w:val="1250"/>
        <w:ind w:firstLine="709"/>
        <w:spacing w:after="0"/>
        <w:tabs>
          <w:tab w:val="left" w:pos="1276" w:leader="none"/>
          <w:tab w:val="left" w:pos="1701" w:leader="none"/>
        </w:tabs>
        <w:rPr>
          <w:sz w:val="28"/>
          <w:szCs w:val="28"/>
        </w:rPr>
      </w:pPr>
      <w:r>
        <w:rPr>
          <w:sz w:val="28"/>
          <w:szCs w:val="28"/>
        </w:rPr>
        <w:t xml:space="preserve">Пуск оборудования и растопка котла должны проводиться под руководством должностного лица, имеющего опыт его пуска и эксплуатации.</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Запрещается начинать операции по растопке котла в следующих случаях:</w:t>
      </w:r>
      <w:r>
        <w:rPr>
          <w:sz w:val="28"/>
          <w:szCs w:val="28"/>
        </w:rPr>
      </w:r>
    </w:p>
    <w:p>
      <w:pPr>
        <w:pStyle w:val="1250"/>
        <w:numPr>
          <w:ilvl w:val="0"/>
          <w:numId w:val="69"/>
        </w:numPr>
        <w:ind w:left="0" w:firstLine="709"/>
        <w:spacing w:after="0"/>
        <w:tabs>
          <w:tab w:val="left" w:pos="1701" w:leader="none"/>
        </w:tabs>
        <w:rPr>
          <w:sz w:val="28"/>
          <w:szCs w:val="28"/>
        </w:rPr>
      </w:pPr>
      <w:r>
        <w:rPr>
          <w:sz w:val="28"/>
          <w:szCs w:val="28"/>
        </w:rPr>
        <w:t xml:space="preserve">Технологическое оборудование имеет дефекты, не позволяющие обеспечить номинальный режим, а также могущие вызвать пожар.</w:t>
      </w:r>
      <w:r>
        <w:rPr>
          <w:sz w:val="28"/>
          <w:szCs w:val="28"/>
        </w:rPr>
      </w:r>
    </w:p>
    <w:p>
      <w:pPr>
        <w:pStyle w:val="1250"/>
        <w:numPr>
          <w:ilvl w:val="0"/>
          <w:numId w:val="69"/>
        </w:numPr>
        <w:ind w:left="0" w:firstLine="709"/>
        <w:spacing w:after="0"/>
        <w:tabs>
          <w:tab w:val="left" w:pos="1701" w:leader="none"/>
        </w:tabs>
        <w:rPr>
          <w:sz w:val="28"/>
          <w:szCs w:val="28"/>
        </w:rPr>
      </w:pPr>
      <w:r>
        <w:rPr>
          <w:sz w:val="28"/>
          <w:szCs w:val="28"/>
        </w:rPr>
        <w:t xml:space="preserve">Не работают (не поверены) контрольно-измерительные приборы (в том числе регистрирующие), определяющие основные параметры работы котла.</w:t>
      </w:r>
      <w:r>
        <w:rPr>
          <w:sz w:val="28"/>
          <w:szCs w:val="28"/>
        </w:rPr>
      </w:r>
    </w:p>
    <w:p>
      <w:pPr>
        <w:pStyle w:val="1250"/>
        <w:numPr>
          <w:ilvl w:val="0"/>
          <w:numId w:val="69"/>
        </w:numPr>
        <w:ind w:left="0" w:firstLine="709"/>
        <w:spacing w:after="0"/>
        <w:tabs>
          <w:tab w:val="left" w:pos="1701" w:leader="none"/>
        </w:tabs>
        <w:rPr>
          <w:sz w:val="28"/>
          <w:szCs w:val="28"/>
        </w:rPr>
      </w:pPr>
      <w:r>
        <w:rPr>
          <w:sz w:val="28"/>
          <w:szCs w:val="28"/>
        </w:rPr>
        <w:t xml:space="preserve">Имеются неисправности цепей управления, а также технологических защит и блокировок, действующих на останов котла.</w:t>
      </w:r>
      <w:r>
        <w:rPr>
          <w:sz w:val="28"/>
          <w:szCs w:val="28"/>
        </w:rPr>
      </w:r>
    </w:p>
    <w:p>
      <w:pPr>
        <w:pStyle w:val="1250"/>
        <w:numPr>
          <w:ilvl w:val="0"/>
          <w:numId w:val="69"/>
        </w:numPr>
        <w:ind w:left="0" w:firstLine="709"/>
        <w:spacing w:after="0"/>
        <w:tabs>
          <w:tab w:val="left" w:pos="1701" w:leader="none"/>
        </w:tabs>
        <w:rPr>
          <w:sz w:val="28"/>
          <w:szCs w:val="28"/>
        </w:rPr>
      </w:pPr>
      <w:r>
        <w:rPr>
          <w:sz w:val="28"/>
          <w:szCs w:val="28"/>
        </w:rPr>
        <w:t xml:space="preserve">Не закончены изоляционные работы и не сняты строительные леса.</w:t>
      </w:r>
      <w:r>
        <w:rPr>
          <w:sz w:val="28"/>
          <w:szCs w:val="28"/>
        </w:rPr>
      </w:r>
    </w:p>
    <w:p>
      <w:pPr>
        <w:pStyle w:val="1250"/>
        <w:numPr>
          <w:ilvl w:val="0"/>
          <w:numId w:val="69"/>
        </w:numPr>
        <w:ind w:left="0" w:firstLine="709"/>
        <w:spacing w:after="0"/>
        <w:tabs>
          <w:tab w:val="left" w:pos="1701" w:leader="none"/>
        </w:tabs>
        <w:rPr>
          <w:sz w:val="28"/>
          <w:szCs w:val="28"/>
        </w:rPr>
      </w:pPr>
      <w:r>
        <w:rPr>
          <w:sz w:val="28"/>
          <w:szCs w:val="28"/>
        </w:rPr>
        <w:t xml:space="preserve">Не обеспечен номинальный режим в сети противопожарного водоснабжения (при наличии).</w:t>
      </w:r>
      <w:r>
        <w:rPr>
          <w:sz w:val="28"/>
          <w:szCs w:val="28"/>
        </w:rPr>
      </w:r>
    </w:p>
    <w:p>
      <w:pPr>
        <w:pStyle w:val="1250"/>
        <w:numPr>
          <w:ilvl w:val="0"/>
          <w:numId w:val="69"/>
        </w:numPr>
        <w:ind w:left="0" w:firstLine="709"/>
        <w:spacing w:after="0"/>
        <w:tabs>
          <w:tab w:val="left" w:pos="1701" w:leader="none"/>
        </w:tabs>
        <w:rPr>
          <w:sz w:val="28"/>
          <w:szCs w:val="28"/>
        </w:rPr>
      </w:pPr>
      <w:r>
        <w:rPr>
          <w:sz w:val="28"/>
          <w:szCs w:val="28"/>
        </w:rPr>
        <w:t xml:space="preserve">Не готовы средства пожаротушения.</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Работы, связанные с подготовкой и растопкой котлов, работающих на газе, должны выполняться </w:t>
      </w:r>
      <w:r>
        <w:rPr>
          <w:sz w:val="28"/>
          <w:szCs w:val="28"/>
          <w:shd w:val="clear" w:color="auto" w:fill="ffffff"/>
        </w:rPr>
        <w:t xml:space="preserve">с соблюдением требований Федеральных норм и правил в области промышленной безопасности «</w:t>
      </w:r>
      <w:r>
        <w:rPr>
          <w:bCs/>
          <w:sz w:val="28"/>
          <w:szCs w:val="28"/>
          <w:shd w:val="clear" w:color="auto" w:fill="ffffff"/>
        </w:rPr>
        <w:t xml:space="preserve">Правил безопасности сетей газораспределения и газопотребления».</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Для предотвращения попадания конденсата природного газа в котлы должны применяться организационные и технические мероприятия. Устройства по сбору и выпуску конденсата из газопроводов должны отвечать требованиям взрывопожаробезопасности.</w:t>
      </w:r>
      <w:r>
        <w:rPr>
          <w:sz w:val="28"/>
          <w:szCs w:val="28"/>
        </w:rPr>
      </w:r>
    </w:p>
    <w:p>
      <w:pPr>
        <w:pStyle w:val="1250"/>
        <w:numPr>
          <w:ilvl w:val="1"/>
          <w:numId w:val="10"/>
        </w:numPr>
        <w:ind w:left="0" w:firstLine="709"/>
        <w:spacing w:after="0"/>
        <w:tabs>
          <w:tab w:val="left" w:pos="1701" w:leader="none"/>
        </w:tabs>
        <w:rPr>
          <w:sz w:val="28"/>
          <w:szCs w:val="28"/>
        </w:rPr>
      </w:pPr>
      <w:r>
        <w:rPr>
          <w:iCs/>
          <w:sz w:val="28"/>
          <w:szCs w:val="28"/>
        </w:rPr>
        <w:t xml:space="preserve">Для обеспечения безопасной работы котельных установок персонал обязан строго контролировать соблюдение установленного топочного режима.</w:t>
      </w:r>
      <w:r>
        <w:rPr>
          <w:sz w:val="28"/>
          <w:szCs w:val="28"/>
        </w:rPr>
      </w:r>
    </w:p>
    <w:p>
      <w:pPr>
        <w:pStyle w:val="1250"/>
        <w:ind w:firstLine="709"/>
        <w:spacing w:after="0"/>
        <w:tabs>
          <w:tab w:val="left" w:pos="1701" w:leader="none"/>
        </w:tabs>
        <w:rPr>
          <w:sz w:val="28"/>
          <w:szCs w:val="28"/>
        </w:rPr>
      </w:pPr>
      <w:r>
        <w:rPr>
          <w:sz w:val="28"/>
          <w:szCs w:val="28"/>
        </w:rPr>
        <w:t xml:space="preserve">При поступлении сигнала о загорании отложений в воздухоподогревателе, газоходе на входе и выходе из котла, необходимо:</w:t>
      </w:r>
      <w:r>
        <w:rPr>
          <w:sz w:val="28"/>
          <w:szCs w:val="28"/>
        </w:rPr>
      </w:r>
    </w:p>
    <w:p>
      <w:pPr>
        <w:pStyle w:val="1250"/>
        <w:numPr>
          <w:ilvl w:val="0"/>
          <w:numId w:val="4"/>
        </w:numPr>
        <w:ind w:left="0" w:firstLine="709"/>
        <w:spacing w:after="0"/>
        <w:tabs>
          <w:tab w:val="left" w:pos="993" w:leader="none"/>
          <w:tab w:val="left" w:pos="1701" w:leader="none"/>
          <w:tab w:val="clear" w:pos="1800" w:leader="none"/>
        </w:tabs>
        <w:rPr>
          <w:sz w:val="28"/>
          <w:szCs w:val="28"/>
        </w:rPr>
      </w:pPr>
      <w:r>
        <w:rPr>
          <w:sz w:val="28"/>
          <w:szCs w:val="28"/>
        </w:rPr>
        <w:t xml:space="preserve">сообщить старшему по смене о возникновении загорания в газоходе или воздухоподогревателе;</w:t>
      </w:r>
      <w:r>
        <w:rPr>
          <w:sz w:val="28"/>
          <w:szCs w:val="28"/>
        </w:rPr>
      </w:r>
    </w:p>
    <w:p>
      <w:pPr>
        <w:pStyle w:val="1250"/>
        <w:numPr>
          <w:ilvl w:val="0"/>
          <w:numId w:val="4"/>
        </w:numPr>
        <w:ind w:left="0" w:firstLine="709"/>
        <w:spacing w:after="0"/>
        <w:tabs>
          <w:tab w:val="left" w:pos="993" w:leader="none"/>
          <w:tab w:val="left" w:pos="1701" w:leader="none"/>
          <w:tab w:val="clear" w:pos="1800" w:leader="none"/>
        </w:tabs>
        <w:rPr>
          <w:sz w:val="28"/>
          <w:szCs w:val="28"/>
        </w:rPr>
      </w:pPr>
      <w:r>
        <w:rPr>
          <w:sz w:val="28"/>
          <w:szCs w:val="28"/>
        </w:rPr>
        <w:t xml:space="preserve">остановить котел;</w:t>
      </w:r>
      <w:r>
        <w:rPr>
          <w:sz w:val="28"/>
          <w:szCs w:val="28"/>
        </w:rPr>
      </w:r>
    </w:p>
    <w:p>
      <w:pPr>
        <w:pStyle w:val="1250"/>
        <w:numPr>
          <w:ilvl w:val="0"/>
          <w:numId w:val="4"/>
        </w:numPr>
        <w:ind w:left="0" w:firstLine="709"/>
        <w:spacing w:after="0"/>
        <w:tabs>
          <w:tab w:val="left" w:pos="993" w:leader="none"/>
          <w:tab w:val="left" w:pos="1701" w:leader="none"/>
          <w:tab w:val="clear" w:pos="1800" w:leader="none"/>
        </w:tabs>
        <w:rPr>
          <w:sz w:val="28"/>
          <w:szCs w:val="28"/>
        </w:rPr>
      </w:pPr>
      <w:r>
        <w:rPr>
          <w:sz w:val="28"/>
          <w:szCs w:val="28"/>
        </w:rPr>
        <w:t xml:space="preserve">открыть задвижку подачи воды в стационарную установку пожаротушения воздухоподогревателя или подать насыщенный пар в газоход котла (при наличии стеклянных воздухоподогревателей).</w:t>
      </w:r>
      <w:r>
        <w:rPr>
          <w:sz w:val="28"/>
          <w:szCs w:val="28"/>
        </w:rPr>
      </w:r>
    </w:p>
    <w:p>
      <w:pPr>
        <w:pStyle w:val="1250"/>
        <w:ind w:firstLine="709"/>
        <w:spacing w:after="0"/>
        <w:tabs>
          <w:tab w:val="left" w:pos="993" w:leader="none"/>
          <w:tab w:val="left" w:pos="1701" w:leader="none"/>
        </w:tabs>
        <w:rPr>
          <w:sz w:val="28"/>
          <w:szCs w:val="28"/>
        </w:rPr>
      </w:pPr>
      <w:r>
        <w:rPr>
          <w:sz w:val="28"/>
          <w:szCs w:val="28"/>
        </w:rPr>
        <w:t xml:space="preserve">При дальнейшем росте температуры за воздухоподогревателем следует действовать в соответствии с планом пожаротушения или ОКДПП.</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При возн</w:t>
      </w:r>
      <w:r>
        <w:rPr>
          <w:sz w:val="28"/>
          <w:szCs w:val="28"/>
        </w:rPr>
        <w:t xml:space="preserve">икновении пожара в котельном отделении котел немедленно должен быть остановлен, если огонь или продукты горения угрожают жизни обслуживающего персонала, а также, если имеется непосредственная угроза повреждения оборудования, цепей управления и защит котла.</w:t>
      </w:r>
      <w:r>
        <w:rPr>
          <w:sz w:val="28"/>
          <w:szCs w:val="28"/>
        </w:rPr>
      </w:r>
    </w:p>
    <w:p>
      <w:pPr>
        <w:pStyle w:val="1250"/>
        <w:ind w:firstLine="709"/>
        <w:spacing w:after="0"/>
        <w:tabs>
          <w:tab w:val="left" w:pos="1701" w:leader="none"/>
        </w:tabs>
        <w:rPr>
          <w:sz w:val="28"/>
          <w:szCs w:val="28"/>
        </w:rPr>
      </w:pPr>
      <w:r>
        <w:rPr>
          <w:sz w:val="28"/>
          <w:szCs w:val="28"/>
        </w:rPr>
        <w:t xml:space="preserve">Котел также должен быть остановлен в аварийных случаях, предусмотренных требованиями ПТЭ.</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При пожаре в помещении котельной должна быть немедленно вызвана пожарная охрана и отключены участки газопровода и мазутопровода, находящиеся в зоне непосредственного воздействия огня или высоких температур.</w:t>
      </w:r>
      <w:r>
        <w:rPr>
          <w:sz w:val="28"/>
          <w:szCs w:val="28"/>
        </w:rPr>
      </w:r>
    </w:p>
    <w:p>
      <w:pPr>
        <w:pStyle w:val="1250"/>
        <w:ind w:firstLine="709"/>
        <w:spacing w:after="0"/>
        <w:tabs>
          <w:tab w:val="left" w:pos="1701" w:leader="none"/>
        </w:tabs>
        <w:rPr>
          <w:sz w:val="28"/>
          <w:szCs w:val="28"/>
        </w:rPr>
      </w:pPr>
      <w:r>
        <w:rPr>
          <w:sz w:val="28"/>
          <w:szCs w:val="28"/>
        </w:rPr>
        <w:t xml:space="preserve">При возможности следует принять меры к опорожнению газо- и мазутопроводов от горючих материалов.</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Внутри котельной на вводных задвижках, напорных и обратных линиях мазутопроводов и газопроводов должны быть вывешены таблички «Закрыть при пожаре».</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Запрещается загромождать подход к указанным задвижкам деталями оборудования и материалами. Обслуживающий персонал должен хорошо знать места установки вводных задвижек.</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На мазутопроводах и газопроводах должна применяться только стальная арматура с уплотнительными кольцами из материала, который при трении и ударах не дает искрообразования.</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Должно быть исключено попадание ма</w:t>
      </w:r>
      <w:r>
        <w:rPr>
          <w:sz w:val="28"/>
          <w:szCs w:val="28"/>
        </w:rPr>
        <w:t xml:space="preserve">сла и мазута на теплоизоляцию горячих трубопроводов, а также на горячие поверхности. При попадании в аварийных случаях масла или мазута на теплоизоляцию горячих трубопроводов немедленно должны быть приняты меры к удалению горючих жидкостей с теплоизоляции.</w:t>
      </w:r>
      <w:r>
        <w:rPr>
          <w:sz w:val="28"/>
          <w:szCs w:val="28"/>
        </w:rPr>
      </w:r>
    </w:p>
    <w:p>
      <w:pPr>
        <w:pStyle w:val="1250"/>
        <w:ind w:firstLine="709"/>
        <w:spacing w:after="0"/>
        <w:tabs>
          <w:tab w:val="left" w:pos="1701" w:leader="none"/>
        </w:tabs>
        <w:rPr>
          <w:sz w:val="28"/>
          <w:szCs w:val="28"/>
        </w:rPr>
      </w:pPr>
      <w:r>
        <w:rPr>
          <w:sz w:val="28"/>
          <w:szCs w:val="28"/>
        </w:rPr>
        <w:t xml:space="preserve">В этих случаях участки теплоизоляции следует очищать горячей водой или паром, а если эта мера не поможет (при глубокой пропитке изоляции), этот участок теплоизоляции должен быть полностью заменен.</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Периодически, но не менее 1 раза в полугодие, должен проводиться визуальный осмотр состояния теплоизоляции трубопроводов, оборудования. Обнаруженные нарушения должны быть отмечены в журнале дефектов и неполадок с оборудованием.</w:t>
      </w:r>
      <w:r>
        <w:rPr>
          <w:sz w:val="28"/>
          <w:szCs w:val="28"/>
        </w:rPr>
      </w:r>
    </w:p>
    <w:p>
      <w:pPr>
        <w:pStyle w:val="1250"/>
        <w:ind w:firstLine="709"/>
        <w:spacing w:after="0"/>
        <w:tabs>
          <w:tab w:val="left" w:pos="1701" w:leader="none"/>
        </w:tabs>
        <w:rPr>
          <w:sz w:val="28"/>
          <w:szCs w:val="28"/>
        </w:rPr>
      </w:pPr>
      <w:r>
        <w:rPr>
          <w:sz w:val="28"/>
          <w:szCs w:val="28"/>
        </w:rPr>
        <w:t xml:space="preserve">Особо необходимо следить за местами с вспучиванием и отслоением теплоизоляции трубопроводов с высокой температурой теплоносителя, так как попадание на эти места горючих жидкостей и пропитка ими теплоизоляции приводит к самовозгоранию.</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Запрещается проводить </w:t>
      </w:r>
      <w:r>
        <w:rPr>
          <w:iCs/>
          <w:sz w:val="28"/>
          <w:szCs w:val="28"/>
        </w:rPr>
        <w:t xml:space="preserve">огневые и огнеопасные</w:t>
      </w:r>
      <w:r>
        <w:rPr>
          <w:sz w:val="28"/>
          <w:szCs w:val="28"/>
        </w:rPr>
        <w:t xml:space="preserve"> работы на действующем взрыво и пожароопасном оборудовании котельных установок.</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В случае выполнения </w:t>
      </w:r>
      <w:r>
        <w:rPr>
          <w:iCs/>
          <w:sz w:val="28"/>
          <w:szCs w:val="28"/>
        </w:rPr>
        <w:t xml:space="preserve">огневых</w:t>
      </w:r>
      <w:r>
        <w:rPr>
          <w:sz w:val="28"/>
          <w:szCs w:val="28"/>
        </w:rPr>
        <w:t xml:space="preserve"> работ в помещении котельного отделения сгораемые конструкции и оборудование в радиусе 5 метр</w:t>
      </w:r>
      <w:r>
        <w:rPr>
          <w:sz w:val="28"/>
          <w:szCs w:val="28"/>
        </w:rPr>
        <w:t xml:space="preserve">ов должны быть очищены от отложений пыли и надежно защищены (металлическим экраном, несгораемым материалом или политы водой), а также должны быть приняты меры против разлета искр и попадания их на другие сгораемые конструкции, нижележащие площадки и этажи.</w:t>
      </w:r>
      <w:r>
        <w:rPr>
          <w:sz w:val="28"/>
          <w:szCs w:val="28"/>
        </w:rPr>
      </w:r>
    </w:p>
    <w:p>
      <w:pPr>
        <w:pStyle w:val="1250"/>
        <w:ind w:firstLine="709"/>
        <w:spacing w:after="0"/>
        <w:tabs>
          <w:tab w:val="left" w:pos="1701" w:leader="none"/>
        </w:tabs>
        <w:rPr>
          <w:sz w:val="28"/>
          <w:szCs w:val="28"/>
        </w:rPr>
      </w:pPr>
      <w:r>
        <w:rPr>
          <w:sz w:val="28"/>
          <w:szCs w:val="28"/>
        </w:rPr>
        <w:t xml:space="preserve">При возможности попадания искр на нижележащие площадки и этажи на этих отметках должны быть поставлены наблюдающие.</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В целях повышения надежности мазутопроводы в зданиях должны</w:t>
      </w:r>
      <w:r>
        <w:rPr>
          <w:sz w:val="28"/>
          <w:szCs w:val="28"/>
        </w:rPr>
        <w:t xml:space="preserve"> выполняться из усиленных стальных бесшовных труб повышенного класса с минимальным количеством фланцевых соединений на давление соответственно Pу=1,6 МПа (16 кгс/см²); 4МПа (40 кгс/см²); 6,4 МПа (64 кгс/см²) и 8,0 МПа (80 кгс/см²) при температуре до 200°С.</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При применении фланцевых соединений должны использоваться фланцы типа «шип-паз» или другие им подобные, а поверхность фланцевых соединений условным диаметром Ду=50 мм и более закрываться кожухами для предотвращения возможного фонтанирования.</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Мазутопроводы должны эксплуатироваться и испытываться </w:t>
      </w:r>
      <w:r>
        <w:rPr>
          <w:iCs/>
          <w:sz w:val="28"/>
          <w:szCs w:val="28"/>
        </w:rPr>
        <w:t xml:space="preserve">по специальным требованиям действующих НТД.</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Все трубопроводы в котельном отделении</w:t>
      </w:r>
      <w:r>
        <w:rPr>
          <w:sz w:val="28"/>
          <w:szCs w:val="28"/>
        </w:rPr>
        <w:t xml:space="preserve"> (помещении) должны иметь цветные кольца с опознавательной окраской и обозначающие, в зависимости от свойств транспортируемых веществ в соответствии с действующим Государственным стандартом, а в помещениях и на оборудовании должны быть знаки безопасности. </w:t>
      </w:r>
      <w:r>
        <w:rPr>
          <w:sz w:val="28"/>
          <w:szCs w:val="28"/>
        </w:rPr>
      </w:r>
    </w:p>
    <w:p>
      <w:pPr>
        <w:pStyle w:val="1250"/>
        <w:ind w:firstLine="709"/>
        <w:spacing w:after="0"/>
        <w:tabs>
          <w:tab w:val="left" w:pos="1701" w:leader="none"/>
        </w:tabs>
        <w:rPr>
          <w:sz w:val="28"/>
          <w:szCs w:val="28"/>
        </w:rPr>
      </w:pPr>
      <w:r>
        <w:rPr>
          <w:sz w:val="28"/>
          <w:szCs w:val="28"/>
        </w:rPr>
        <w:t xml:space="preserve">Газопроводы должны окрашиваться в желтый, а мазутопроводы - в коричневый опознавательный цвет.</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Резервный комплект мазутных форсунок, предварительно проверенный на стенде, должен храниться на специальном стеллаже в непосредственной близости от соответствующего котла.</w:t>
      </w:r>
      <w:r>
        <w:rPr>
          <w:sz w:val="28"/>
          <w:szCs w:val="28"/>
        </w:rPr>
      </w:r>
    </w:p>
    <w:p>
      <w:pPr>
        <w:pStyle w:val="1250"/>
        <w:ind w:firstLine="709"/>
        <w:spacing w:after="0"/>
        <w:tabs>
          <w:tab w:val="left" w:pos="1701" w:leader="none"/>
        </w:tabs>
        <w:rPr>
          <w:sz w:val="28"/>
          <w:szCs w:val="28"/>
        </w:rPr>
      </w:pPr>
      <w:r>
        <w:rPr>
          <w:sz w:val="28"/>
          <w:szCs w:val="28"/>
        </w:rPr>
        <w:t xml:space="preserve">Замененные форсунки следует очищать в специально отведенном и оборудованном месте, имеющем первичные средства пожаротушения. Пролитый мазут необходимо немедленно убирать.</w:t>
      </w:r>
      <w:r>
        <w:rPr>
          <w:sz w:val="28"/>
          <w:szCs w:val="28"/>
        </w:rPr>
      </w:r>
    </w:p>
    <w:p>
      <w:pPr>
        <w:pStyle w:val="1250"/>
        <w:numPr>
          <w:ilvl w:val="1"/>
          <w:numId w:val="10"/>
        </w:numPr>
        <w:ind w:left="0" w:firstLine="709"/>
        <w:spacing w:after="0"/>
        <w:tabs>
          <w:tab w:val="left" w:pos="1701" w:leader="none"/>
        </w:tabs>
        <w:rPr>
          <w:sz w:val="28"/>
          <w:szCs w:val="28"/>
        </w:rPr>
      </w:pPr>
      <w:r>
        <w:rPr>
          <w:sz w:val="28"/>
          <w:szCs w:val="28"/>
        </w:rPr>
        <w:t xml:space="preserve">Котельные систем автономного отопления и горячего водоснабжения административных и бытовых зданий с котлами и теплогенераторами, работающими на газообразном должны эксплуатироваться </w:t>
      </w:r>
      <w:r>
        <w:rPr>
          <w:sz w:val="28"/>
          <w:szCs w:val="28"/>
          <w:shd w:val="clear" w:color="auto" w:fill="ffffff"/>
        </w:rPr>
        <w:t xml:space="preserve">в соответствии требованиями Федеральных норм и правил в области промышленной безопасности.</w:t>
      </w:r>
      <w:r>
        <w:rPr>
          <w:sz w:val="28"/>
          <w:szCs w:val="28"/>
        </w:rPr>
      </w:r>
    </w:p>
    <w:p>
      <w:pPr>
        <w:pStyle w:val="1250"/>
        <w:ind w:left="709" w:firstLine="0"/>
        <w:spacing w:after="0"/>
        <w:tabs>
          <w:tab w:val="left" w:pos="1418" w:leader="none"/>
        </w:tabs>
        <w:rPr>
          <w:sz w:val="28"/>
          <w:szCs w:val="28"/>
        </w:rPr>
      </w:pPr>
      <w:r>
        <w:rPr>
          <w:sz w:val="28"/>
          <w:szCs w:val="28"/>
        </w:rPr>
      </w:r>
      <w:r>
        <w:rPr>
          <w:sz w:val="28"/>
          <w:szCs w:val="28"/>
        </w:rPr>
      </w:r>
    </w:p>
    <w:p>
      <w:pPr>
        <w:pStyle w:val="1250"/>
        <w:numPr>
          <w:ilvl w:val="0"/>
          <w:numId w:val="10"/>
        </w:numPr>
        <w:ind w:left="0" w:firstLine="709"/>
        <w:jc w:val="left"/>
        <w:spacing w:after="0"/>
        <w:tabs>
          <w:tab w:val="left" w:pos="1418" w:leader="none"/>
        </w:tabs>
        <w:rPr>
          <w:b/>
          <w:bCs/>
          <w:sz w:val="32"/>
          <w:szCs w:val="32"/>
        </w:rPr>
        <w:outlineLvl w:val="0"/>
      </w:pPr>
      <w:r/>
      <w:bookmarkStart w:id="94" w:name="Газовое_хозяйство_9"/>
      <w:r/>
      <w:bookmarkStart w:id="95" w:name="_Toc124499112"/>
      <w:r>
        <w:rPr>
          <w:b/>
          <w:sz w:val="32"/>
          <w:szCs w:val="32"/>
        </w:rPr>
        <w:t xml:space="preserve">Газовое хозяйство</w:t>
      </w:r>
      <w:bookmarkEnd w:id="94"/>
      <w:r/>
      <w:bookmarkEnd w:id="95"/>
      <w:r/>
      <w:r>
        <w:rPr>
          <w:b/>
          <w:bCs/>
          <w:sz w:val="32"/>
          <w:szCs w:val="32"/>
        </w:rPr>
      </w:r>
    </w:p>
    <w:p>
      <w:pPr>
        <w:pStyle w:val="1250"/>
        <w:ind w:left="709" w:firstLine="709"/>
        <w:jc w:val="left"/>
        <w:spacing w:after="0"/>
        <w:tabs>
          <w:tab w:val="left" w:pos="1276" w:leader="none"/>
        </w:tabs>
        <w:rPr>
          <w:bCs/>
        </w:rPr>
      </w:pPr>
      <w:r>
        <w:rPr>
          <w:bCs/>
        </w:rPr>
      </w:r>
      <w:r>
        <w:rPr>
          <w:bCs/>
        </w:rPr>
      </w:r>
    </w:p>
    <w:p>
      <w:pPr>
        <w:pStyle w:val="1250"/>
        <w:numPr>
          <w:ilvl w:val="1"/>
          <w:numId w:val="10"/>
        </w:numPr>
        <w:ind w:left="0" w:firstLine="709"/>
        <w:spacing w:after="0"/>
        <w:tabs>
          <w:tab w:val="left" w:pos="1701" w:leader="none"/>
        </w:tabs>
        <w:rPr>
          <w:b/>
          <w:bCs/>
          <w:sz w:val="28"/>
          <w:szCs w:val="28"/>
        </w:rPr>
      </w:pPr>
      <w:r>
        <w:rPr>
          <w:bCs/>
          <w:sz w:val="28"/>
          <w:szCs w:val="28"/>
        </w:rPr>
        <w:t xml:space="preserve">Газорегуляторные пункты (ГРП) и газорегуляторные установки (ГРУ) электростанций должны отвечать требованиям </w:t>
      </w:r>
      <w:r>
        <w:rPr>
          <w:bCs/>
          <w:sz w:val="28"/>
          <w:szCs w:val="28"/>
          <w:shd w:val="clear" w:color="auto" w:fill="ffffff"/>
        </w:rPr>
        <w:t xml:space="preserve">и эксплуатироваться в соответствии с «Правилами безопасности сетей газораспределения и газопотребления».</w:t>
      </w:r>
      <w:r>
        <w:rPr>
          <w:b/>
          <w:bCs/>
          <w:sz w:val="28"/>
          <w:szCs w:val="28"/>
        </w:rPr>
      </w:r>
    </w:p>
    <w:p>
      <w:pPr>
        <w:pStyle w:val="1250"/>
        <w:numPr>
          <w:ilvl w:val="1"/>
          <w:numId w:val="10"/>
        </w:numPr>
        <w:ind w:left="0" w:firstLine="709"/>
        <w:spacing w:after="0"/>
        <w:tabs>
          <w:tab w:val="left" w:pos="1701" w:leader="none"/>
        </w:tabs>
        <w:rPr>
          <w:bCs/>
          <w:sz w:val="28"/>
          <w:szCs w:val="28"/>
        </w:rPr>
      </w:pPr>
      <w:r>
        <w:rPr>
          <w:bCs/>
          <w:sz w:val="28"/>
          <w:szCs w:val="28"/>
        </w:rPr>
        <w:t xml:space="preserve">В помещениях газового хозяйства ГРП (ГРУ) должны быть вывешены схемы и местная инструкция по эксплуатации оборудования. В инструкции должны быть изложены конкретные требования по пожарной безопасности.</w:t>
      </w:r>
      <w:r>
        <w:rPr>
          <w:b/>
          <w:bCs/>
          <w:sz w:val="28"/>
          <w:szCs w:val="28"/>
        </w:rPr>
        <w:t xml:space="preserve"> </w:t>
      </w:r>
      <w:r>
        <w:rPr>
          <w:bCs/>
          <w:sz w:val="28"/>
          <w:szCs w:val="28"/>
        </w:rPr>
        <w:t xml:space="preserve">В помещениях должны устанавливаться газоанализаторы для контроля за образованием взрывоопасных концентраций. При отсутствии газоанализаторов руководитель организации должен установить порядок отбора и контроля проб газовоздушной среды.</w:t>
      </w:r>
      <w:r>
        <w:rPr>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Снаружи и внутри помещений на видных местах должны быть установлены знаки безопасности.</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Помещение с контрольно-измер</w:t>
      </w:r>
      <w:r>
        <w:rPr>
          <w:bCs/>
          <w:sz w:val="28"/>
          <w:szCs w:val="28"/>
        </w:rPr>
        <w:t xml:space="preserve">ительными приборами и устройствами управления должно быть отделено от ГРП (ГРУ) газоплотной стеной, в которой не допускаются сквозные отверстия и щели. Прохождение коммуникаций через стену допускается только с применением специальных устройств (сальников).</w:t>
      </w:r>
      <w:r>
        <w:rPr>
          <w:b/>
          <w:bCs/>
          <w:sz w:val="28"/>
          <w:szCs w:val="28"/>
        </w:rPr>
      </w:r>
    </w:p>
    <w:p>
      <w:pPr>
        <w:pStyle w:val="1250"/>
        <w:numPr>
          <w:ilvl w:val="1"/>
          <w:numId w:val="10"/>
        </w:numPr>
        <w:ind w:left="0" w:firstLine="709"/>
        <w:spacing w:after="0"/>
        <w:tabs>
          <w:tab w:val="left" w:pos="1701" w:leader="none"/>
        </w:tabs>
        <w:rPr>
          <w:bCs/>
          <w:sz w:val="28"/>
          <w:szCs w:val="28"/>
        </w:rPr>
      </w:pPr>
      <w:r>
        <w:rPr>
          <w:bCs/>
          <w:sz w:val="28"/>
          <w:szCs w:val="28"/>
        </w:rPr>
        <w:t xml:space="preserve">Газоопасные работы должны проводиться только по наряду</w:t>
      </w:r>
      <w:r>
        <w:rPr>
          <w:sz w:val="28"/>
          <w:szCs w:val="28"/>
        </w:rPr>
        <w:t xml:space="preserve"> в соответствии с правилами техники безопасности</w:t>
      </w:r>
      <w:r>
        <w:rPr>
          <w:bCs/>
          <w:sz w:val="28"/>
          <w:szCs w:val="28"/>
        </w:rPr>
        <w:t xml:space="preserve"> после проведения анализа воздуха на отсутствие взрывоопасных концентраций. С персоналом должен проводиться инструктаж, в том числе о мерах пожарной безопасности, после которого члены бригады должны допускаться к работе.</w:t>
      </w:r>
      <w:r>
        <w:rPr>
          <w:bCs/>
          <w:sz w:val="28"/>
          <w:szCs w:val="28"/>
        </w:rPr>
      </w:r>
    </w:p>
    <w:p>
      <w:pPr>
        <w:pStyle w:val="1250"/>
        <w:numPr>
          <w:ilvl w:val="1"/>
          <w:numId w:val="10"/>
        </w:numPr>
        <w:ind w:left="0" w:firstLine="709"/>
        <w:spacing w:after="0"/>
        <w:tabs>
          <w:tab w:val="left" w:pos="1701" w:leader="none"/>
        </w:tabs>
        <w:rPr>
          <w:bCs/>
          <w:sz w:val="28"/>
          <w:szCs w:val="28"/>
        </w:rPr>
      </w:pPr>
      <w:r>
        <w:rPr>
          <w:bCs/>
          <w:sz w:val="28"/>
          <w:szCs w:val="28"/>
        </w:rPr>
        <w:t xml:space="preserve">Перед нач</w:t>
      </w:r>
      <w:r>
        <w:rPr>
          <w:bCs/>
          <w:sz w:val="28"/>
          <w:szCs w:val="28"/>
        </w:rPr>
        <w:t xml:space="preserve">алом огневых работ (сварка, резка и т.п.) должны быть выполнены организационные и технические мероприятия для начала производства работ, при этом особое внимание обращается на исключение скопления остатков газа и поступления его к месту работы, проведение </w:t>
      </w:r>
      <w:r>
        <w:rPr>
          <w:bCs/>
          <w:sz w:val="28"/>
          <w:szCs w:val="28"/>
        </w:rPr>
        <w:t xml:space="preserve">анализа воздуха на отсутствие взрывоопасных концентраций (особенно в застойных зонах) с отметкой результатов анализа в наряде-допуске.</w:t>
      </w:r>
      <w:r>
        <w:rPr>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Подготовку технологического оборудования к ремонту, демонтаж и монтаж после ремонта в помещении действующих ГРП (ГРУ) разрешается выполнять в течение светового дня.</w:t>
      </w:r>
      <w:r>
        <w:rPr>
          <w:b/>
          <w:bCs/>
          <w:sz w:val="28"/>
          <w:szCs w:val="28"/>
        </w:rPr>
      </w:r>
    </w:p>
    <w:p>
      <w:pPr>
        <w:pStyle w:val="1250"/>
        <w:ind w:firstLine="709"/>
        <w:spacing w:after="0"/>
        <w:tabs>
          <w:tab w:val="left" w:pos="1701" w:leader="none"/>
        </w:tabs>
        <w:rPr>
          <w:b/>
          <w:bCs/>
          <w:sz w:val="28"/>
          <w:szCs w:val="28"/>
        </w:rPr>
      </w:pPr>
      <w:r>
        <w:rPr>
          <w:bCs/>
          <w:sz w:val="28"/>
          <w:szCs w:val="28"/>
        </w:rPr>
        <w:t xml:space="preserve">В аварийной ситуации допускается производить эти работы в ночное время при условии обеспечения дополнительных мер безопасности: усилении освещения</w:t>
      </w:r>
      <w:r>
        <w:rPr>
          <w:b/>
          <w:bCs/>
          <w:sz w:val="28"/>
          <w:szCs w:val="28"/>
        </w:rPr>
        <w:t xml:space="preserve"> </w:t>
      </w:r>
      <w:r>
        <w:rPr>
          <w:bCs/>
          <w:sz w:val="28"/>
          <w:szCs w:val="28"/>
        </w:rPr>
        <w:t xml:space="preserve">во взрывобезопасном исполнении </w:t>
      </w:r>
      <w:r>
        <w:rPr>
          <w:sz w:val="28"/>
          <w:szCs w:val="28"/>
        </w:rPr>
        <w:t xml:space="preserve">напряжением двенадцать вольт</w:t>
      </w:r>
      <w:r>
        <w:rPr>
          <w:bCs/>
          <w:sz w:val="28"/>
          <w:szCs w:val="28"/>
        </w:rPr>
        <w:t xml:space="preserve">, установления дополнительного надзора, а также непрерывном контроле загазованности в помещении.</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Запрещается производить монтаж или ремонт оборудования и газопроводов в помещении при неработающей вентиляции.</w:t>
      </w:r>
      <w:r>
        <w:rPr>
          <w:b/>
          <w:bCs/>
          <w:sz w:val="28"/>
          <w:szCs w:val="28"/>
        </w:rPr>
      </w:r>
    </w:p>
    <w:p>
      <w:pPr>
        <w:pStyle w:val="1250"/>
        <w:ind w:firstLine="709"/>
        <w:spacing w:after="0"/>
        <w:tabs>
          <w:tab w:val="left" w:pos="1701" w:leader="none"/>
        </w:tabs>
        <w:rPr>
          <w:b/>
          <w:bCs/>
          <w:sz w:val="28"/>
          <w:szCs w:val="28"/>
        </w:rPr>
      </w:pPr>
      <w:r>
        <w:rPr>
          <w:bCs/>
          <w:sz w:val="28"/>
          <w:szCs w:val="28"/>
        </w:rPr>
        <w:t xml:space="preserve">При выходе из работы системы вентиляции ГРП (ГРУ) должны быть приняты меры для исключения образования взрывоопасной концентрации газа в помещении.</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Давление в газовых аппаратах или газопроводах для производства ремонтных работ должно снижаться после их отключения и только через продувочные свечи или регуляторы давления.</w:t>
      </w:r>
      <w:r>
        <w:rPr>
          <w:b/>
          <w:bCs/>
          <w:sz w:val="28"/>
          <w:szCs w:val="28"/>
        </w:rPr>
      </w:r>
    </w:p>
    <w:p>
      <w:pPr>
        <w:pStyle w:val="1250"/>
        <w:ind w:firstLine="709"/>
        <w:spacing w:after="0"/>
        <w:tabs>
          <w:tab w:val="left" w:pos="1701" w:leader="none"/>
        </w:tabs>
        <w:rPr>
          <w:b/>
          <w:bCs/>
          <w:sz w:val="28"/>
          <w:szCs w:val="28"/>
        </w:rPr>
      </w:pPr>
      <w:r>
        <w:rPr>
          <w:bCs/>
          <w:sz w:val="28"/>
          <w:szCs w:val="28"/>
        </w:rPr>
        <w:t xml:space="preserve">Запрещается для этих целей разводить фланцевые соединения на запорной арматуре.</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Заглушки, установленные на газопроводах, должны быть рассчитаны на максимально возможное давление газа при аварии и ремонтных работах. Заглушки должны иметь хвостовики, выступающие за пределы фланцев.</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Отогревание газопроводов и арматуры должно проводиться паром или горячей водой.</w:t>
      </w:r>
      <w:r>
        <w:rPr>
          <w:b/>
          <w:bCs/>
          <w:sz w:val="28"/>
          <w:szCs w:val="28"/>
        </w:rPr>
      </w:r>
    </w:p>
    <w:p>
      <w:pPr>
        <w:pStyle w:val="1250"/>
        <w:ind w:firstLine="709"/>
        <w:spacing w:after="0"/>
        <w:tabs>
          <w:tab w:val="left" w:pos="1701" w:leader="none"/>
        </w:tabs>
        <w:rPr>
          <w:b/>
          <w:bCs/>
          <w:sz w:val="28"/>
          <w:szCs w:val="28"/>
        </w:rPr>
      </w:pPr>
      <w:r>
        <w:rPr>
          <w:bCs/>
          <w:sz w:val="28"/>
          <w:szCs w:val="28"/>
        </w:rPr>
        <w:t xml:space="preserve">Запрещается применять для этих целей источники тепла с открытым огнем.</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Работы по ремонту элек</w:t>
      </w:r>
      <w:r>
        <w:rPr>
          <w:bCs/>
          <w:sz w:val="28"/>
          <w:szCs w:val="28"/>
        </w:rPr>
        <w:t xml:space="preserve">трооборудования ГРП (ГРУ) и замене перегоревших электроламп должны проводиться при снятом напряжении. При недостаточном естественном освещении допускается применение переносных светильников во взрывобезопасном исполнении или установка светильников снаружи.</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При резких изменениях давления газа немедленно должны приниматься меры по выявлению и устранению причин, а также переводу котельных установок на сжигание резервных видов топлива.</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При образовании утечки газа из газопровода аварийный участок (зону) следует немедленно огораживать, вывешивать соответствующие предупреждающие и запрещающие знаки, а также принимать меры по скорейшему отключению поврежденного газопровода или оборудования.</w:t>
      </w:r>
      <w:r>
        <w:rPr>
          <w:b/>
          <w:bCs/>
          <w:sz w:val="28"/>
          <w:szCs w:val="28"/>
        </w:rPr>
        <w:t xml:space="preserve"> </w:t>
      </w:r>
      <w:r>
        <w:rPr>
          <w:bCs/>
          <w:sz w:val="28"/>
          <w:szCs w:val="28"/>
        </w:rPr>
        <w:t xml:space="preserve">Персонал не участвующий в аварийно-восстановительных работах, должен быть удален из опасной зоны.</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Запрещается применение открытого огня для отыскания мест утечки газа.</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При использовании землеройных машин последний слой грунта над поврежденным газопроводом толщиной не менее 200-300 мм следует удалять вручную лопатами с соблюдением мер безопасности.</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Газопроводы, прокладываемые открыто, должны иметь отличительную окраску по действующему Государственному стандарту.</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Запрещается использовать действующие газопроводы для устройства подвески (опоры) приспособлений и настила строительных лесов.</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При вынужденном пересечении сварочным электрокабелем действующих газопроводов должна выполняться дополнительная его изоляция или воздушная подвеска.</w:t>
      </w:r>
      <w:r>
        <w:rPr>
          <w:b/>
          <w:bCs/>
          <w:sz w:val="28"/>
          <w:szCs w:val="28"/>
        </w:rPr>
      </w:r>
    </w:p>
    <w:p>
      <w:pPr>
        <w:pStyle w:val="1250"/>
        <w:numPr>
          <w:ilvl w:val="1"/>
          <w:numId w:val="10"/>
        </w:numPr>
        <w:ind w:left="0" w:firstLine="709"/>
        <w:spacing w:after="0"/>
        <w:tabs>
          <w:tab w:val="left" w:pos="1701" w:leader="none"/>
        </w:tabs>
        <w:rPr>
          <w:b/>
          <w:bCs/>
          <w:sz w:val="28"/>
          <w:szCs w:val="28"/>
        </w:rPr>
      </w:pPr>
      <w:r>
        <w:rPr>
          <w:bCs/>
          <w:sz w:val="28"/>
          <w:szCs w:val="28"/>
        </w:rPr>
        <w:t xml:space="preserve"> При работе в помещениях ГРП (ГРУ) и в загазованной среде должны применяться инструменты из материала, исключающего искрообразование. Использование инструментов из черного металла допускается при условии покрытия рабочей части густой смазкой.</w:t>
      </w:r>
      <w:r>
        <w:rPr>
          <w:b/>
          <w:bCs/>
          <w:sz w:val="28"/>
          <w:szCs w:val="28"/>
        </w:rPr>
      </w:r>
    </w:p>
    <w:p>
      <w:pPr>
        <w:pStyle w:val="1250"/>
        <w:ind w:firstLine="709"/>
        <w:spacing w:after="0"/>
        <w:tabs>
          <w:tab w:val="left" w:pos="1701" w:leader="none"/>
        </w:tabs>
        <w:rPr>
          <w:b/>
          <w:bCs/>
          <w:sz w:val="28"/>
          <w:szCs w:val="28"/>
        </w:rPr>
      </w:pPr>
      <w:r>
        <w:rPr>
          <w:bCs/>
          <w:sz w:val="28"/>
          <w:szCs w:val="28"/>
        </w:rPr>
        <w:t xml:space="preserve">Персонал должен быть в обуви, исключающей искрообразование, и в одежде из материала, не накапливающего зарядов статического электричества.</w:t>
      </w:r>
      <w:r>
        <w:rPr>
          <w:b/>
          <w:bCs/>
          <w:sz w:val="28"/>
          <w:szCs w:val="28"/>
        </w:rPr>
      </w:r>
    </w:p>
    <w:p>
      <w:pPr>
        <w:pStyle w:val="1250"/>
        <w:ind w:firstLine="709"/>
        <w:jc w:val="left"/>
        <w:spacing w:after="0"/>
        <w:rPr>
          <w:b/>
          <w:bCs/>
          <w:sz w:val="28"/>
          <w:szCs w:val="28"/>
        </w:rPr>
      </w:pPr>
      <w:r>
        <w:rPr>
          <w:b/>
          <w:bCs/>
          <w:sz w:val="28"/>
          <w:szCs w:val="28"/>
        </w:rPr>
      </w:r>
      <w:r>
        <w:rPr>
          <w:b/>
          <w:bCs/>
          <w:sz w:val="28"/>
          <w:szCs w:val="28"/>
        </w:rPr>
      </w:r>
    </w:p>
    <w:p>
      <w:pPr>
        <w:pStyle w:val="1250"/>
        <w:numPr>
          <w:ilvl w:val="0"/>
          <w:numId w:val="10"/>
        </w:numPr>
        <w:ind w:left="0" w:firstLine="709"/>
        <w:jc w:val="left"/>
        <w:spacing w:after="0"/>
        <w:tabs>
          <w:tab w:val="left" w:pos="1418" w:leader="none"/>
        </w:tabs>
        <w:rPr>
          <w:b/>
          <w:bCs/>
          <w:sz w:val="32"/>
          <w:szCs w:val="32"/>
        </w:rPr>
        <w:outlineLvl w:val="0"/>
      </w:pPr>
      <w:r/>
      <w:bookmarkStart w:id="96" w:name="Газотурбинные_энергетич_установки_10"/>
      <w:r/>
      <w:bookmarkStart w:id="97" w:name="_Toc124499113"/>
      <w:r>
        <w:rPr>
          <w:b/>
          <w:bCs/>
          <w:sz w:val="32"/>
          <w:szCs w:val="32"/>
        </w:rPr>
        <w:t xml:space="preserve">Газотурбинные энергетические установки</w:t>
      </w:r>
      <w:bookmarkEnd w:id="96"/>
      <w:r/>
      <w:bookmarkEnd w:id="97"/>
      <w:r/>
      <w:r>
        <w:rPr>
          <w:b/>
          <w:bCs/>
          <w:sz w:val="32"/>
          <w:szCs w:val="32"/>
        </w:rPr>
      </w:r>
    </w:p>
    <w:p>
      <w:pPr>
        <w:pStyle w:val="1250"/>
        <w:ind w:firstLine="709"/>
        <w:jc w:val="left"/>
        <w:spacing w:after="0"/>
        <w:tabs>
          <w:tab w:val="left" w:pos="1701" w:leader="none"/>
        </w:tabs>
        <w:rPr>
          <w:b/>
          <w:bCs/>
        </w:rPr>
      </w:pPr>
      <w:r>
        <w:rPr>
          <w:b/>
          <w:bCs/>
        </w:rPr>
      </w:r>
      <w:r>
        <w:rPr>
          <w:b/>
          <w:bCs/>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 начала пусковых операций на об</w:t>
      </w:r>
      <w:r>
        <w:rPr>
          <w:rFonts w:ascii="Times New Roman" w:hAnsi="Times New Roman" w:cs="Times New Roman"/>
          <w:sz w:val="28"/>
          <w:szCs w:val="28"/>
        </w:rPr>
        <w:t xml:space="preserve">орудовании газотурбинных установок должны быть составлены инструкции по эксплуатации оборудования и систем ГТУ с учетом местных условий и утверждены техническим руководителем Филиала, в которые необходимо включить разделы по обеспечению взрывобезопасности.</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Ввод газопроводов в главный корпус должен предусматриваться непосредственно в помещение, где установлены ГТУ.</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Газовый коллектор перед отводами на ГТУ должен располагаться вне здания вдоль негорючей стены.</w:t>
      </w:r>
      <w:r>
        <w:rPr>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Дожимные компрессорные агрегаты или расширительные газовые турбины для повышения или понижения давления природного газа, в системах газоснабжения ГТУ, должны размещаться в отдельных зданиях.</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Приемная емкость или сливной коллектор должны оборудоваться дыхательными клапанами с огнепреградителями.</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Сливные устройства эстакад, трубопроводы в пределах сливных эстакад должны быть присоединены к контуру заземления не менее чем в двух точках.</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Территория сливных эстакад и складов жидкого топлива должна быть оборудована молниезащитой с применением отдельно стоящих молниеотводов.</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хранения жидкого топлива должны применяться стальные цилиндрические вертикальные наземные резервуары.</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Группа из резервуаров 400 м</w:t>
      </w:r>
      <w:r>
        <w:rPr>
          <w:rFonts w:ascii="Times New Roman" w:hAnsi="Times New Roman" w:cs="Times New Roman"/>
          <w:sz w:val="28"/>
          <w:szCs w:val="28"/>
          <w:vertAlign w:val="superscript"/>
        </w:rPr>
        <w:t xml:space="preserve">3</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и менее общей вместимостью до 4000 м</w:t>
      </w:r>
      <w:r>
        <w:rPr>
          <w:rFonts w:ascii="Times New Roman" w:hAnsi="Times New Roman" w:cs="Times New Roman"/>
          <w:sz w:val="28"/>
          <w:szCs w:val="28"/>
          <w:vertAlign w:val="superscript"/>
        </w:rPr>
        <w:t xml:space="preserve">3</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расположенная отдельно от общей группы резервуаров (за пределами внешнего обвалования) должная быть ограждена сплошным земляным валом </w:t>
      </w:r>
      <w:r>
        <w:rPr>
          <w:rFonts w:ascii="Times New Roman" w:hAnsi="Times New Roman" w:cs="Times New Roman"/>
          <w:sz w:val="28"/>
          <w:szCs w:val="28"/>
        </w:rPr>
        <w:t xml:space="preserve">или стеной 0,8 м при вертикальных резервуарах и 0,5 м при горизонтальных резервуарах. Расстояние от стенок этих резервуаров до подошвы внутренних откосов обвалования не нормируется.</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Проход трубопроводов через обвалование должен выполняться в гильзах с надежным уплотнением.</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наземных резервуаров нефти и нефтепродуктов объемом 5000 м</w:t>
      </w:r>
      <w:r>
        <w:rPr>
          <w:rFonts w:ascii="Times New Roman" w:hAnsi="Times New Roman" w:cs="Times New Roman"/>
          <w:sz w:val="28"/>
          <w:szCs w:val="28"/>
          <w:vertAlign w:val="superscript"/>
        </w:rPr>
        <w:t xml:space="preserve">3</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и более следует предусматривать системы автоматического пожаротушения и стационарные установки охлаждения.</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Насосную подачи жидкого топлива к ГТУ следует размещать, как правило, в закрытых помещениях.</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полах насосных должны предусматриваться трапы для сбора замазученных вод и случайно разлитых жидкостей.</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Трапы должны соединяться с дренажной емкостью, расположенной за пределами насосной.</w:t>
      </w:r>
      <w:r>
        <w:rPr>
          <w:sz w:val="28"/>
          <w:szCs w:val="28"/>
        </w:rPr>
      </w:r>
    </w:p>
    <w:p>
      <w:pPr>
        <w:ind w:firstLine="709"/>
        <w:jc w:val="both"/>
        <w:tabs>
          <w:tab w:val="left" w:pos="1701" w:leader="none"/>
        </w:tabs>
        <w:rPr>
          <w:sz w:val="28"/>
          <w:szCs w:val="28"/>
        </w:rPr>
      </w:pPr>
      <w:r>
        <w:rPr>
          <w:sz w:val="28"/>
          <w:szCs w:val="28"/>
        </w:rPr>
        <w:t xml:space="preserve">Дренажная емкость должна быть оборудована дыхательными клапанами с огнепреградителями и дренажными погружными насосами со 100%-м резервом.</w:t>
      </w:r>
      <w:r>
        <w:rPr>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трубопроводах жидкого топлива от насосной к главному корпусу должны быть установлены аварийные задвижки, расположенные в пределах 10-50 м от зданий насосной и главного корпуса.</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Трубопроводы жидкого топлива от насосной до главного корпуса следует прокладывать вне зданий над землей на негорючих опорах.</w:t>
      </w:r>
      <w:r>
        <w:rPr>
          <w:rFonts w:ascii="Times New Roman" w:hAnsi="Times New Roman" w:cs="Times New Roman"/>
          <w:sz w:val="28"/>
          <w:szCs w:val="28"/>
        </w:rPr>
      </w:r>
    </w:p>
    <w:p>
      <w:pPr>
        <w:ind w:firstLine="709"/>
        <w:jc w:val="both"/>
        <w:tabs>
          <w:tab w:val="left" w:pos="1701" w:leader="none"/>
        </w:tabs>
        <w:rPr>
          <w:sz w:val="28"/>
          <w:szCs w:val="28"/>
        </w:rPr>
      </w:pPr>
      <w:r>
        <w:rPr>
          <w:sz w:val="28"/>
          <w:szCs w:val="28"/>
        </w:rPr>
        <w:t xml:space="preserve">Расстояние от трубопровода до стен зданий с проемами должно быть не менее 3 м.</w:t>
      </w:r>
      <w:r>
        <w:rPr>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Системы аварийной вентиляции должны включаться автоматически в работу по срабатыванию установленных в помещениях газосигнализаторов на 20% от НКПВ.</w:t>
      </w:r>
      <w:r>
        <w:rPr>
          <w:rFonts w:ascii="Times New Roman" w:hAnsi="Times New Roman" w:cs="Times New Roman"/>
          <w:sz w:val="28"/>
          <w:szCs w:val="28"/>
        </w:rPr>
      </w:r>
    </w:p>
    <w:p>
      <w:pPr>
        <w:pStyle w:val="1142"/>
        <w:numPr>
          <w:ilvl w:val="1"/>
          <w:numId w:val="1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обеспечения взрывобезопасности ГТУ необходимо контролировать:</w:t>
      </w:r>
      <w:r>
        <w:rPr>
          <w:rFonts w:ascii="Times New Roman" w:hAnsi="Times New Roman" w:cs="Times New Roman"/>
          <w:sz w:val="28"/>
          <w:szCs w:val="28"/>
        </w:rPr>
      </w:r>
    </w:p>
    <w:p>
      <w:pPr>
        <w:pStyle w:val="1142"/>
        <w:numPr>
          <w:ilvl w:val="1"/>
          <w:numId w:val="7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Давление газообразного, жидкого топлива перед стопорным клапаном и в трубопроводе за регулирующим клапаном, причем контроль давления топлива должен осуществляться постоянно показывающими приборами по месту на БЩУ.</w:t>
      </w:r>
      <w:r>
        <w:rPr>
          <w:rFonts w:ascii="Times New Roman" w:hAnsi="Times New Roman" w:cs="Times New Roman"/>
          <w:sz w:val="28"/>
          <w:szCs w:val="28"/>
        </w:rPr>
      </w:r>
    </w:p>
    <w:p>
      <w:pPr>
        <w:pStyle w:val="1142"/>
        <w:numPr>
          <w:ilvl w:val="1"/>
          <w:numId w:val="7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Концентрацию газа в застойных зонах машзала и в помещениях, непосредственно прилегающих к газопроводам, в которых возможно скопление газа.</w:t>
      </w:r>
      <w:r>
        <w:rPr>
          <w:rFonts w:ascii="Times New Roman" w:hAnsi="Times New Roman" w:cs="Times New Roman"/>
          <w:sz w:val="28"/>
          <w:szCs w:val="28"/>
        </w:rPr>
      </w:r>
    </w:p>
    <w:p>
      <w:pPr>
        <w:pStyle w:val="1142"/>
        <w:numPr>
          <w:ilvl w:val="1"/>
          <w:numId w:val="70"/>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Концентрацию паров жидкого топлива в насосной подачи жидкого топлива к ГТУ.</w:t>
      </w:r>
      <w:r>
        <w:rPr>
          <w:rFonts w:ascii="Times New Roman" w:hAnsi="Times New Roman" w:cs="Times New Roman"/>
          <w:sz w:val="28"/>
          <w:szCs w:val="28"/>
        </w:rPr>
      </w:r>
    </w:p>
    <w:p>
      <w:pPr>
        <w:pStyle w:val="1222"/>
        <w:numPr>
          <w:ilvl w:val="1"/>
          <w:numId w:val="10"/>
        </w:numPr>
        <w:ind w:left="0" w:firstLine="709"/>
        <w:jc w:val="both"/>
        <w:tabs>
          <w:tab w:val="left" w:pos="1701" w:leader="none"/>
        </w:tabs>
        <w:rPr>
          <w:sz w:val="28"/>
          <w:szCs w:val="28"/>
        </w:rPr>
      </w:pPr>
      <w:r>
        <w:rPr>
          <w:sz w:val="28"/>
          <w:szCs w:val="28"/>
        </w:rPr>
        <w:t xml:space="preserve">Для обеспечения взрывопожаробезопасности ГТУ должна быть оснащена следующей светозвуковой сигнализацией, выведенной на ГЩУ и сигнализирующей:</w:t>
      </w:r>
      <w:r>
        <w:rPr>
          <w:sz w:val="28"/>
          <w:szCs w:val="28"/>
        </w:rPr>
      </w:r>
    </w:p>
    <w:p>
      <w:pPr>
        <w:pStyle w:val="1142"/>
        <w:numPr>
          <w:ilvl w:val="0"/>
          <w:numId w:val="71"/>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 повышении или понижении давления газообразного или жидкого топлива перед стопорным клапаном относительно заданных значений.</w:t>
      </w:r>
      <w:r>
        <w:rPr>
          <w:rFonts w:ascii="Times New Roman" w:hAnsi="Times New Roman" w:cs="Times New Roman"/>
          <w:sz w:val="28"/>
          <w:szCs w:val="28"/>
        </w:rPr>
      </w:r>
    </w:p>
    <w:p>
      <w:pPr>
        <w:pStyle w:val="1142"/>
        <w:numPr>
          <w:ilvl w:val="0"/>
          <w:numId w:val="71"/>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 повышении концентрации паров жидкого топлива в </w:t>
      </w:r>
      <w:r>
        <w:rPr>
          <w:rFonts w:ascii="Times New Roman" w:hAnsi="Times New Roman" w:cs="Times New Roman"/>
          <w:sz w:val="28"/>
          <w:szCs w:val="28"/>
        </w:rPr>
        <w:t xml:space="preserve">помещении насосной, концентрации газа в машинном зале более 20% от НКПВ.</w:t>
      </w:r>
      <w:r>
        <w:rPr>
          <w:rFonts w:ascii="Times New Roman" w:hAnsi="Times New Roman" w:cs="Times New Roman"/>
          <w:sz w:val="28"/>
          <w:szCs w:val="28"/>
        </w:rPr>
      </w:r>
    </w:p>
    <w:p>
      <w:pPr>
        <w:pStyle w:val="1142"/>
        <w:numPr>
          <w:ilvl w:val="0"/>
          <w:numId w:val="71"/>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 повышении температуры выхлопных газов в газоходе за турбиной относительно заданного значения.</w:t>
      </w:r>
      <w:r>
        <w:rPr>
          <w:rFonts w:ascii="Times New Roman" w:hAnsi="Times New Roman" w:cs="Times New Roman"/>
          <w:sz w:val="28"/>
          <w:szCs w:val="28"/>
        </w:rPr>
      </w:r>
    </w:p>
    <w:p>
      <w:pPr>
        <w:pStyle w:val="1142"/>
        <w:numPr>
          <w:ilvl w:val="0"/>
          <w:numId w:val="71"/>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 повышении или понижении уровня нефтяного масла в маслобаках смазки, регулирования, демпферном баке и аварийном маслобаке относительно заданных уровней.</w:t>
      </w:r>
      <w:r>
        <w:rPr>
          <w:rFonts w:ascii="Times New Roman" w:hAnsi="Times New Roman" w:cs="Times New Roman"/>
          <w:sz w:val="28"/>
          <w:szCs w:val="28"/>
        </w:rPr>
      </w:r>
    </w:p>
    <w:p>
      <w:pPr>
        <w:pStyle w:val="1142"/>
        <w:numPr>
          <w:ilvl w:val="0"/>
          <w:numId w:val="71"/>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 пожаре в помещениях ГТУ.</w:t>
      </w:r>
      <w:r>
        <w:rPr>
          <w:rFonts w:ascii="Times New Roman" w:hAnsi="Times New Roman" w:cs="Times New Roman"/>
          <w:sz w:val="28"/>
          <w:szCs w:val="28"/>
        </w:rPr>
      </w:r>
    </w:p>
    <w:p>
      <w:pPr>
        <w:pStyle w:val="1142"/>
        <w:numPr>
          <w:ilvl w:val="0"/>
          <w:numId w:val="71"/>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 состоянии (открытом или закрытом) стопорных и регулирующих топливных клапанов, антипомпажных клапанов (только световая сигнализация).</w:t>
      </w:r>
      <w:r>
        <w:rPr>
          <w:rFonts w:ascii="Times New Roman" w:hAnsi="Times New Roman" w:cs="Times New Roman"/>
          <w:sz w:val="28"/>
          <w:szCs w:val="28"/>
        </w:rPr>
      </w:r>
    </w:p>
    <w:p>
      <w:pPr>
        <w:pStyle w:val="1142"/>
        <w:numPr>
          <w:ilvl w:val="0"/>
          <w:numId w:val="3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предотвращения взрывоопасных ситуаций ГТУ должна быть оснащена автоматическими защитами, действующими на останов ГТУ при:</w:t>
      </w:r>
      <w:r>
        <w:rPr>
          <w:rFonts w:ascii="Times New Roman" w:hAnsi="Times New Roman" w:cs="Times New Roman"/>
          <w:sz w:val="28"/>
          <w:szCs w:val="28"/>
        </w:rPr>
      </w:r>
    </w:p>
    <w:p>
      <w:pPr>
        <w:pStyle w:val="1142"/>
        <w:numPr>
          <w:ilvl w:val="0"/>
          <w:numId w:val="7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Недопустимом понижении давления жидкого или газообразного топлива перед стопорными клапанами.</w:t>
      </w:r>
      <w:r>
        <w:rPr>
          <w:rFonts w:ascii="Times New Roman" w:hAnsi="Times New Roman" w:cs="Times New Roman"/>
          <w:sz w:val="28"/>
          <w:szCs w:val="28"/>
        </w:rPr>
      </w:r>
    </w:p>
    <w:p>
      <w:pPr>
        <w:pStyle w:val="1142"/>
        <w:numPr>
          <w:ilvl w:val="0"/>
          <w:numId w:val="7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Погасании факела в любой из пламенных труб камеры сгорания.</w:t>
      </w:r>
      <w:r>
        <w:rPr>
          <w:rFonts w:ascii="Times New Roman" w:hAnsi="Times New Roman" w:cs="Times New Roman"/>
          <w:sz w:val="28"/>
          <w:szCs w:val="28"/>
        </w:rPr>
      </w:r>
    </w:p>
    <w:p>
      <w:pPr>
        <w:pStyle w:val="1142"/>
        <w:numPr>
          <w:ilvl w:val="0"/>
          <w:numId w:val="7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Недопустимом повышении температуры масляных паров во внутреннем подшипнике агрегата (при наличии внутреннего подшипника).</w:t>
      </w:r>
      <w:r>
        <w:rPr>
          <w:rFonts w:ascii="Times New Roman" w:hAnsi="Times New Roman" w:cs="Times New Roman"/>
          <w:sz w:val="28"/>
          <w:szCs w:val="28"/>
        </w:rPr>
      </w:r>
    </w:p>
    <w:p>
      <w:pPr>
        <w:pStyle w:val="1142"/>
        <w:numPr>
          <w:ilvl w:val="0"/>
          <w:numId w:val="7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исчезновении напряжения электропитания всех приборов технологического контроля или устройств регулирования и автоматизации.</w:t>
      </w:r>
      <w:r>
        <w:rPr>
          <w:rFonts w:ascii="Times New Roman" w:hAnsi="Times New Roman" w:cs="Times New Roman"/>
          <w:sz w:val="28"/>
          <w:szCs w:val="28"/>
        </w:rPr>
      </w:r>
    </w:p>
    <w:p>
      <w:pPr>
        <w:pStyle w:val="1142"/>
        <w:numPr>
          <w:ilvl w:val="0"/>
          <w:numId w:val="3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Для ГТУ, пускаемой после монтажа, должна быть составлена программа пуска, в которую необходимо включить требования во взрывопожаробезопасности с указанием должностных лиц, ответственных за выполнение конкретных мероприятий.</w:t>
      </w:r>
      <w:r>
        <w:rPr>
          <w:rFonts w:ascii="Times New Roman" w:hAnsi="Times New Roman" w:cs="Times New Roman"/>
          <w:sz w:val="28"/>
          <w:szCs w:val="28"/>
        </w:rPr>
      </w:r>
    </w:p>
    <w:p>
      <w:pPr>
        <w:pStyle w:val="1142"/>
        <w:numPr>
          <w:ilvl w:val="0"/>
          <w:numId w:val="3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газотурбинных установках запрещается во время эксплуатации агрегата производить огневые работы в районе генератора, узлов подачи жидкого топлива, маслобаков смазки и регулирования.</w:t>
      </w:r>
      <w:r>
        <w:rPr>
          <w:rFonts w:ascii="Times New Roman" w:hAnsi="Times New Roman" w:cs="Times New Roman"/>
          <w:sz w:val="28"/>
          <w:szCs w:val="28"/>
        </w:rPr>
      </w:r>
    </w:p>
    <w:p>
      <w:pPr>
        <w:pStyle w:val="1180"/>
        <w:ind w:firstLine="709"/>
        <w:jc w:val="both"/>
        <w:spacing w:before="0" w:beforeAutospacing="0" w:after="0" w:afterAutospacing="0"/>
      </w:pPr>
      <w:r/>
      <w:r/>
    </w:p>
    <w:p>
      <w:pPr>
        <w:pStyle w:val="1180"/>
        <w:numPr>
          <w:ilvl w:val="0"/>
          <w:numId w:val="10"/>
        </w:numPr>
        <w:ind w:left="0" w:firstLine="709"/>
        <w:jc w:val="both"/>
        <w:spacing w:before="0" w:beforeAutospacing="0" w:after="0" w:afterAutospacing="0"/>
        <w:tabs>
          <w:tab w:val="left" w:pos="1418" w:leader="none"/>
        </w:tabs>
        <w:rPr>
          <w:b/>
          <w:sz w:val="32"/>
          <w:szCs w:val="32"/>
        </w:rPr>
        <w:outlineLvl w:val="0"/>
      </w:pPr>
      <w:r/>
      <w:bookmarkStart w:id="98" w:name="Требование_ПБ_к_отоплению_вент_конд_11"/>
      <w:r/>
      <w:bookmarkStart w:id="99" w:name="_Toc124499114"/>
      <w:r>
        <w:rPr>
          <w:b/>
          <w:sz w:val="32"/>
          <w:szCs w:val="32"/>
        </w:rPr>
        <w:t xml:space="preserve">Требования пожарной безопасности к системам отопления, вентиляции, кондиционирования, серверным помещениям</w:t>
      </w:r>
      <w:bookmarkEnd w:id="98"/>
      <w:r/>
      <w:bookmarkEnd w:id="99"/>
      <w:r/>
      <w:r>
        <w:rPr>
          <w:b/>
          <w:sz w:val="32"/>
          <w:szCs w:val="32"/>
        </w:rPr>
      </w:r>
    </w:p>
    <w:p>
      <w:pPr>
        <w:pStyle w:val="1180"/>
        <w:ind w:left="851" w:firstLine="709"/>
        <w:jc w:val="both"/>
        <w:spacing w:before="0" w:beforeAutospacing="0" w:after="0" w:afterAutospacing="0"/>
        <w:tabs>
          <w:tab w:val="left" w:pos="0" w:leader="none"/>
          <w:tab w:val="left" w:pos="1418" w:leader="none"/>
        </w:tabs>
        <w:rPr>
          <w:b/>
        </w:rPr>
      </w:pPr>
      <w:r>
        <w:rPr>
          <w:b/>
        </w:rPr>
      </w:r>
      <w:r>
        <w:rPr>
          <w:b/>
        </w:rPr>
      </w:r>
    </w:p>
    <w:p>
      <w:pPr>
        <w:pStyle w:val="1180"/>
        <w:numPr>
          <w:ilvl w:val="0"/>
          <w:numId w:val="41"/>
        </w:numPr>
        <w:ind w:left="0" w:firstLine="709"/>
        <w:jc w:val="both"/>
        <w:spacing w:before="0" w:beforeAutospacing="0" w:after="0" w:afterAutospacing="0"/>
        <w:tabs>
          <w:tab w:val="left" w:pos="1418" w:leader="none"/>
        </w:tabs>
        <w:rPr>
          <w:b/>
          <w:bCs/>
          <w:sz w:val="28"/>
          <w:szCs w:val="28"/>
        </w:rPr>
        <w:outlineLvl w:val="1"/>
      </w:pPr>
      <w:r/>
      <w:bookmarkStart w:id="100" w:name="_Toc112328579"/>
      <w:r/>
      <w:bookmarkStart w:id="101" w:name="_Toc124499115"/>
      <w:r/>
      <w:bookmarkStart w:id="102" w:name="ПБ_систем_отопления_11_1"/>
      <w:r>
        <w:rPr>
          <w:b/>
          <w:bCs/>
          <w:sz w:val="28"/>
          <w:szCs w:val="28"/>
        </w:rPr>
        <w:t xml:space="preserve">Пожарная безопасность систем отопления</w:t>
      </w:r>
      <w:bookmarkEnd w:id="100"/>
      <w:r/>
      <w:bookmarkEnd w:id="101"/>
      <w:r/>
      <w:r>
        <w:rPr>
          <w:b/>
          <w:bCs/>
          <w:sz w:val="28"/>
          <w:szCs w:val="28"/>
        </w:rPr>
      </w:r>
    </w:p>
    <w:p>
      <w:pPr>
        <w:pStyle w:val="1180"/>
        <w:ind w:left="851" w:firstLine="709"/>
        <w:jc w:val="both"/>
        <w:spacing w:before="0" w:beforeAutospacing="0" w:after="0" w:afterAutospacing="0"/>
        <w:tabs>
          <w:tab w:val="left" w:pos="993" w:leader="none"/>
          <w:tab w:val="left" w:pos="1418" w:leader="none"/>
          <w:tab w:val="left" w:pos="1701" w:leader="none"/>
        </w:tabs>
        <w:rPr>
          <w:b/>
          <w:bCs/>
        </w:rPr>
      </w:pPr>
      <w:r>
        <w:rPr>
          <w:b/>
          <w:bCs/>
        </w:rPr>
      </w:r>
      <w:bookmarkEnd w:id="102"/>
      <w:r>
        <w:rPr>
          <w:b/>
          <w:bCs/>
        </w:rPr>
      </w:r>
    </w:p>
    <w:p>
      <w:pPr>
        <w:pStyle w:val="1286"/>
        <w:numPr>
          <w:ilvl w:val="2"/>
          <w:numId w:val="11"/>
        </w:numPr>
        <w:ind w:left="0"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cs="Times New Roman"/>
          <w:sz w:val="28"/>
          <w:szCs w:val="28"/>
        </w:rPr>
        <w:t xml:space="preserve">Для систем отопления и внутреннего теплоснабжения следует применять в качестве теплоносителя, как правило, воду.</w:t>
      </w:r>
      <w:r>
        <w:rPr>
          <w:rStyle w:val="1256"/>
          <w:rFonts w:ascii="Times New Roman" w:hAnsi="Times New Roman" w:cs="Times New Roman"/>
          <w:sz w:val="28"/>
          <w:szCs w:val="28"/>
        </w:rPr>
      </w:r>
    </w:p>
    <w:p>
      <w:pPr>
        <w:pStyle w:val="1286"/>
        <w:ind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cs="Times New Roman"/>
          <w:sz w:val="28"/>
          <w:szCs w:val="28"/>
        </w:rPr>
        <w:t xml:space="preserve">При отсутствии централизованного отопления на объектах </w:t>
      </w:r>
      <w:r>
        <w:rPr>
          <w:rFonts w:ascii="Times New Roman" w:hAnsi="Times New Roman"/>
          <w:sz w:val="28"/>
          <w:szCs w:val="28"/>
        </w:rPr>
        <w:t xml:space="preserve">Филиала</w:t>
      </w:r>
      <w:r>
        <w:rPr>
          <w:rStyle w:val="1256"/>
          <w:rFonts w:ascii="Times New Roman" w:hAnsi="Times New Roman" w:cs="Times New Roman"/>
          <w:sz w:val="28"/>
          <w:szCs w:val="28"/>
        </w:rPr>
        <w:t xml:space="preserve"> допускается применение электронагревательных отопительных приборов, соответствующих требованиям </w:t>
      </w:r>
      <w:hyperlink r:id="rId41" w:tooltip="&quot;Правила устройства электроустановок (ПУЭ). Оглавление&quot;(утв. Минэнерго России от 06.10.1999)Статус: Статус документа не определен" w:history="1">
        <w:r>
          <w:rPr>
            <w:rStyle w:val="1111"/>
            <w:rFonts w:ascii="Times New Roman" w:hAnsi="Times New Roman"/>
            <w:color w:val="e48b00"/>
            <w:sz w:val="28"/>
            <w:szCs w:val="28"/>
          </w:rPr>
          <w:t xml:space="preserve">ПУЭ</w:t>
        </w:r>
      </w:hyperlink>
      <w:r>
        <w:rPr>
          <w:rStyle w:val="1256"/>
          <w:rFonts w:ascii="Times New Roman" w:hAnsi="Times New Roman" w:cs="Times New Roman"/>
          <w:sz w:val="28"/>
          <w:szCs w:val="28"/>
        </w:rPr>
        <w:t xml:space="preserve"> и Правил противопожарного режима в Российской Федерации.</w:t>
      </w:r>
      <w:r>
        <w:rPr>
          <w:rStyle w:val="1256"/>
          <w:rFonts w:ascii="Times New Roman" w:hAnsi="Times New Roman" w:cs="Times New Roman"/>
          <w:sz w:val="28"/>
          <w:szCs w:val="28"/>
        </w:rPr>
      </w:r>
    </w:p>
    <w:p>
      <w:pPr>
        <w:pStyle w:val="1286"/>
        <w:numPr>
          <w:ilvl w:val="2"/>
          <w:numId w:val="11"/>
        </w:numPr>
        <w:ind w:left="0"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cs="Times New Roman"/>
          <w:sz w:val="28"/>
          <w:szCs w:val="28"/>
        </w:rPr>
        <w:t xml:space="preserve">Расстояние (в свету) от поверхности трубопроводов, отопительных приборов и воздухонагревателей с температурой теплоносителя </w:t>
      </w:r>
      <w:r>
        <w:rPr>
          <w:rStyle w:val="1256"/>
          <w:rFonts w:ascii="Times New Roman" w:hAnsi="Times New Roman" w:cs="Times New Roman"/>
          <w:sz w:val="28"/>
          <w:szCs w:val="28"/>
        </w:rPr>
        <w:t xml:space="preserve">свыше 105 º</w:t>
      </w:r>
      <w:r>
        <w:rPr>
          <w:rStyle w:val="1256"/>
          <w:rFonts w:ascii="Times New Roman" w:hAnsi="Times New Roman" w:cs="Times New Roman"/>
          <w:sz w:val="28"/>
          <w:szCs w:val="28"/>
          <w:lang w:val="en-US"/>
        </w:rPr>
        <w:t xml:space="preserve">C</w:t>
      </w:r>
      <w:r>
        <w:rPr>
          <w:rStyle w:val="1256"/>
          <w:rFonts w:ascii="Times New Roman" w:hAnsi="Times New Roman" w:cs="Times New Roman"/>
          <w:sz w:val="28"/>
          <w:szCs w:val="28"/>
        </w:rPr>
        <w:t xml:space="preserve"> до поверхности конструкции из горючих материалов должно быть не менее 100 мм.</w:t>
      </w:r>
      <w:r>
        <w:rPr>
          <w:rStyle w:val="1256"/>
          <w:rFonts w:ascii="Times New Roman" w:hAnsi="Times New Roman" w:cs="Times New Roman"/>
          <w:sz w:val="28"/>
          <w:szCs w:val="28"/>
        </w:rPr>
      </w:r>
    </w:p>
    <w:p>
      <w:pPr>
        <w:pStyle w:val="1286"/>
        <w:ind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cs="Times New Roman"/>
          <w:sz w:val="28"/>
          <w:szCs w:val="28"/>
        </w:rPr>
        <w:t xml:space="preserve">При меньшем расстоянии следует предусматривать тепловую изоляцию поверхности этой конструкции из негорючих материалов.</w:t>
      </w:r>
      <w:r>
        <w:rPr>
          <w:rStyle w:val="1256"/>
          <w:rFonts w:ascii="Times New Roman" w:hAnsi="Times New Roman" w:cs="Times New Roman"/>
          <w:sz w:val="28"/>
          <w:szCs w:val="28"/>
        </w:rPr>
      </w:r>
    </w:p>
    <w:p>
      <w:pPr>
        <w:pStyle w:val="1286"/>
        <w:numPr>
          <w:ilvl w:val="2"/>
          <w:numId w:val="11"/>
        </w:numPr>
        <w:ind w:left="0"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cs="Times New Roman"/>
          <w:sz w:val="28"/>
          <w:szCs w:val="28"/>
        </w:rPr>
        <w:t xml:space="preserve">Не допускается размещать в помещениях категории А, Б и В1-В3 по взрывопожарной и пожарной опасности отопительные приборы в нишах.</w:t>
      </w:r>
      <w:r>
        <w:rPr>
          <w:rStyle w:val="1256"/>
          <w:rFonts w:ascii="Times New Roman" w:hAnsi="Times New Roman" w:cs="Times New Roman"/>
          <w:sz w:val="28"/>
          <w:szCs w:val="28"/>
        </w:rPr>
      </w:r>
    </w:p>
    <w:p>
      <w:pPr>
        <w:pStyle w:val="1286"/>
        <w:numPr>
          <w:ilvl w:val="2"/>
          <w:numId w:val="11"/>
        </w:numPr>
        <w:ind w:left="0"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cs="Times New Roman"/>
          <w:sz w:val="28"/>
          <w:szCs w:val="28"/>
        </w:rPr>
        <w:t xml:space="preserve">Перед началом отопительного сезона отопительные приборы и системы должны быть проверены и отремонтированы.</w:t>
      </w:r>
      <w:r>
        <w:rPr>
          <w:rStyle w:val="1256"/>
          <w:rFonts w:ascii="Times New Roman" w:hAnsi="Times New Roman" w:cs="Times New Roman"/>
          <w:sz w:val="28"/>
          <w:szCs w:val="28"/>
        </w:rPr>
      </w:r>
    </w:p>
    <w:p>
      <w:pPr>
        <w:pStyle w:val="1286"/>
        <w:numPr>
          <w:ilvl w:val="2"/>
          <w:numId w:val="11"/>
        </w:numPr>
        <w:ind w:left="0"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cs="Times New Roman"/>
          <w:sz w:val="28"/>
          <w:szCs w:val="28"/>
        </w:rPr>
        <w:t xml:space="preserve">Неисправные отопительные приборы и системы к эксплуатации не допускаются.</w:t>
      </w:r>
      <w:r>
        <w:rPr>
          <w:rStyle w:val="1256"/>
          <w:rFonts w:ascii="Times New Roman" w:hAnsi="Times New Roman" w:cs="Times New Roman"/>
          <w:sz w:val="28"/>
          <w:szCs w:val="28"/>
        </w:rPr>
      </w:r>
    </w:p>
    <w:p>
      <w:pPr>
        <w:pStyle w:val="1286"/>
        <w:numPr>
          <w:ilvl w:val="2"/>
          <w:numId w:val="11"/>
        </w:numPr>
        <w:ind w:left="0" w:right="5" w:firstLine="709"/>
        <w:spacing w:line="240" w:lineRule="auto"/>
        <w:widowControl/>
        <w:tabs>
          <w:tab w:val="left" w:pos="1701" w:leader="none"/>
        </w:tabs>
        <w:rPr>
          <w:rStyle w:val="1256"/>
          <w:rFonts w:ascii="Times New Roman" w:hAnsi="Times New Roman" w:cs="Times New Roman"/>
          <w:sz w:val="28"/>
          <w:szCs w:val="28"/>
        </w:rPr>
      </w:pPr>
      <w:r>
        <w:rPr>
          <w:rStyle w:val="1256"/>
          <w:rFonts w:ascii="Times New Roman" w:hAnsi="Times New Roman"/>
          <w:sz w:val="28"/>
          <w:szCs w:val="28"/>
        </w:rPr>
        <w:t xml:space="preserve">Запрещается оставлять без присмотра включенными в электрическую сеть электронагревательные приборы, </w:t>
      </w:r>
      <w:r>
        <w:rPr>
          <w:rFonts w:ascii="Times New Roman" w:hAnsi="Times New Roman"/>
          <w:sz w:val="28"/>
          <w:szCs w:val="28"/>
        </w:rPr>
        <w:t xml:space="preserve">за исключением электроприборов, которые могут и (или) должны находиться в круглосуточном режиме работы в соответствии с технической документацией изготовителя</w:t>
      </w:r>
      <w:r>
        <w:rPr>
          <w:rStyle w:val="1256"/>
          <w:rFonts w:ascii="Times New Roman" w:hAnsi="Times New Roman" w:cs="Times New Roman"/>
          <w:sz w:val="28"/>
          <w:szCs w:val="28"/>
        </w:rPr>
        <w:t xml:space="preserve">.</w:t>
      </w:r>
      <w:r>
        <w:rPr>
          <w:rStyle w:val="1256"/>
          <w:rFonts w:ascii="Times New Roman" w:hAnsi="Times New Roman" w:cs="Times New Roman"/>
          <w:sz w:val="28"/>
          <w:szCs w:val="28"/>
        </w:rPr>
      </w:r>
    </w:p>
    <w:p>
      <w:pPr>
        <w:pStyle w:val="1286"/>
        <w:numPr>
          <w:ilvl w:val="2"/>
          <w:numId w:val="11"/>
        </w:numPr>
        <w:ind w:left="0" w:right="5" w:firstLine="709"/>
        <w:spacing w:line="240" w:lineRule="auto"/>
        <w:widowControl/>
        <w:tabs>
          <w:tab w:val="left" w:pos="1701" w:leader="none"/>
        </w:tabs>
        <w:rPr>
          <w:rFonts w:ascii="Times New Roman" w:hAnsi="Times New Roman"/>
          <w:sz w:val="28"/>
          <w:szCs w:val="28"/>
        </w:rPr>
      </w:pPr>
      <w:r>
        <w:rPr>
          <w:rFonts w:ascii="Times New Roman" w:hAnsi="Times New Roman"/>
          <w:color w:val="000000"/>
          <w:sz w:val="28"/>
          <w:szCs w:val="28"/>
        </w:rPr>
        <w:t xml:space="preserve">При эксплуатации теплопроизводящих установок запрещается:</w:t>
      </w:r>
      <w:r>
        <w:rPr>
          <w:rFonts w:ascii="Times New Roman" w:hAnsi="Times New Roman"/>
          <w:sz w:val="28"/>
          <w:szCs w:val="28"/>
        </w:rPr>
      </w:r>
    </w:p>
    <w:p>
      <w:pPr>
        <w:pStyle w:val="1142"/>
        <w:numPr>
          <w:ilvl w:val="1"/>
          <w:numId w:val="73"/>
        </w:numPr>
        <w:ind w:left="0" w:right="82"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Работать на установке с неисправными электродвигателями и пусковой аппаратурой, а также при отсутствии тепловой защиты электродвигателя и других неисправностях.</w:t>
      </w:r>
      <w:r>
        <w:rPr>
          <w:rFonts w:ascii="Times New Roman" w:hAnsi="Times New Roman" w:cs="Times New Roman"/>
          <w:color w:val="000000"/>
          <w:sz w:val="28"/>
          <w:szCs w:val="28"/>
        </w:rPr>
      </w:r>
    </w:p>
    <w:p>
      <w:pPr>
        <w:pStyle w:val="1142"/>
        <w:numPr>
          <w:ilvl w:val="1"/>
          <w:numId w:val="73"/>
        </w:numPr>
        <w:ind w:left="0" w:right="82" w:firstLine="709"/>
        <w:jc w:val="both"/>
        <w:shd w:val="clear" w:color="auto" w:fill="ffffff"/>
        <w:tabs>
          <w:tab w:val="left" w:pos="1701" w:leader="none"/>
        </w:tabs>
        <w:rPr>
          <w:rStyle w:val="1256"/>
          <w:rFonts w:ascii="Times New Roman" w:hAnsi="Times New Roman" w:cs="Times New Roman"/>
          <w:color w:val="000000"/>
          <w:sz w:val="28"/>
          <w:szCs w:val="28"/>
        </w:rPr>
      </w:pPr>
      <w:r>
        <w:rPr>
          <w:rFonts w:ascii="Times New Roman" w:hAnsi="Times New Roman" w:cs="Times New Roman"/>
          <w:color w:val="000000"/>
          <w:sz w:val="28"/>
          <w:szCs w:val="28"/>
        </w:rPr>
        <w:t xml:space="preserve">Применять горючие материалы для мягкой вставки между корпусом электрокалорифера и вентилятором.</w:t>
      </w:r>
      <w:r>
        <w:rPr>
          <w:rStyle w:val="1256"/>
          <w:rFonts w:ascii="Times New Roman" w:hAnsi="Times New Roman" w:cs="Times New Roman"/>
          <w:color w:val="000000"/>
          <w:sz w:val="28"/>
          <w:szCs w:val="28"/>
        </w:rPr>
      </w:r>
    </w:p>
    <w:p>
      <w:pPr>
        <w:pStyle w:val="1286"/>
        <w:ind w:right="5" w:firstLine="709"/>
        <w:spacing w:line="240" w:lineRule="auto"/>
        <w:widowControl/>
        <w:tabs>
          <w:tab w:val="left" w:pos="1418" w:leader="none"/>
          <w:tab w:val="left" w:pos="1701" w:leader="none"/>
        </w:tabs>
        <w:rPr>
          <w:rFonts w:ascii="Times New Roman" w:hAnsi="Times New Roman"/>
        </w:rPr>
      </w:pPr>
      <w:r>
        <w:rPr>
          <w:rFonts w:ascii="Times New Roman" w:hAnsi="Times New Roman"/>
        </w:rPr>
      </w:r>
      <w:r>
        <w:rPr>
          <w:rFonts w:ascii="Times New Roman" w:hAnsi="Times New Roman"/>
        </w:rPr>
      </w:r>
    </w:p>
    <w:p>
      <w:pPr>
        <w:pStyle w:val="1180"/>
        <w:numPr>
          <w:ilvl w:val="1"/>
          <w:numId w:val="109"/>
        </w:numPr>
        <w:ind w:left="0" w:firstLine="709"/>
        <w:jc w:val="both"/>
        <w:spacing w:before="0" w:beforeAutospacing="0" w:after="0" w:afterAutospacing="0"/>
        <w:tabs>
          <w:tab w:val="left" w:pos="1418" w:leader="none"/>
        </w:tabs>
        <w:rPr>
          <w:rStyle w:val="1290"/>
          <w:rFonts w:ascii="Times New Roman" w:hAnsi="Times New Roman" w:cs="Times New Roman"/>
          <w:b w:val="0"/>
          <w:bCs w:val="0"/>
          <w:sz w:val="28"/>
          <w:szCs w:val="28"/>
        </w:rPr>
        <w:outlineLvl w:val="1"/>
      </w:pPr>
      <w:r/>
      <w:bookmarkStart w:id="103" w:name="ПБ_сисетм_вентиляции_и_кондиц_11_2"/>
      <w:r/>
      <w:bookmarkStart w:id="104" w:name="_Toc112328580"/>
      <w:r/>
      <w:bookmarkStart w:id="105" w:name="_Toc124499116"/>
      <w:r>
        <w:rPr>
          <w:rStyle w:val="1290"/>
          <w:rFonts w:ascii="Times New Roman" w:hAnsi="Times New Roman" w:cs="Times New Roman"/>
          <w:sz w:val="28"/>
          <w:szCs w:val="28"/>
        </w:rPr>
        <w:t xml:space="preserve">Пожарная безопасность систем вентиляции и кондиционирования</w:t>
      </w:r>
      <w:bookmarkEnd w:id="103"/>
      <w:r/>
      <w:bookmarkEnd w:id="104"/>
      <w:r/>
      <w:bookmarkEnd w:id="105"/>
      <w:r/>
      <w:r>
        <w:rPr>
          <w:rStyle w:val="1290"/>
          <w:rFonts w:ascii="Times New Roman" w:hAnsi="Times New Roman" w:cs="Times New Roman"/>
          <w:b w:val="0"/>
          <w:bCs w:val="0"/>
          <w:sz w:val="28"/>
          <w:szCs w:val="28"/>
        </w:rPr>
      </w:r>
    </w:p>
    <w:p>
      <w:pPr>
        <w:pStyle w:val="1180"/>
        <w:ind w:left="709" w:firstLine="709"/>
        <w:jc w:val="both"/>
        <w:spacing w:before="0" w:beforeAutospacing="0" w:after="0" w:afterAutospacing="0"/>
        <w:tabs>
          <w:tab w:val="left" w:pos="893" w:leader="none"/>
          <w:tab w:val="left" w:pos="993" w:leader="none"/>
          <w:tab w:val="left" w:pos="1418" w:leader="none"/>
        </w:tabs>
      </w:pPr>
      <w:r/>
      <w:r/>
    </w:p>
    <w:p>
      <w:pPr>
        <w:numPr>
          <w:ilvl w:val="2"/>
          <w:numId w:val="110"/>
        </w:numPr>
        <w:ind w:left="0" w:firstLine="709"/>
        <w:jc w:val="both"/>
        <w:tabs>
          <w:tab w:val="left" w:pos="1701" w:leader="none"/>
        </w:tabs>
        <w:rPr>
          <w:sz w:val="28"/>
          <w:szCs w:val="28"/>
        </w:rPr>
      </w:pPr>
      <w:r>
        <w:rPr>
          <w:sz w:val="28"/>
          <w:szCs w:val="28"/>
        </w:rPr>
        <w:t xml:space="preserve">Руководитель Филиала своим ОРД определяет порядок и сроки проведения работ по очистке вентиляционных камер, циклонов, фильтров и воздуховодов от горючих отходов и отложений, при этом такие работы должны проводиться не реже 1 раза в год.</w:t>
      </w:r>
      <w:r>
        <w:rPr>
          <w:sz w:val="28"/>
          <w:szCs w:val="28"/>
        </w:rPr>
      </w:r>
    </w:p>
    <w:p>
      <w:pPr>
        <w:numPr>
          <w:ilvl w:val="2"/>
          <w:numId w:val="110"/>
        </w:numPr>
        <w:ind w:left="0" w:firstLine="709"/>
        <w:jc w:val="both"/>
        <w:tabs>
          <w:tab w:val="left" w:pos="1701" w:leader="none"/>
        </w:tabs>
        <w:rPr>
          <w:sz w:val="28"/>
          <w:szCs w:val="28"/>
        </w:rPr>
      </w:pPr>
      <w:r>
        <w:rPr>
          <w:sz w:val="28"/>
          <w:szCs w:val="28"/>
        </w:rPr>
        <w:t xml:space="preserve">По итогам проведения работы по очистке вент</w:t>
      </w:r>
      <w:r>
        <w:rPr>
          <w:sz w:val="28"/>
          <w:szCs w:val="28"/>
        </w:rPr>
        <w:t xml:space="preserve">иляционных камер, циклонов, фильтров и воздуховодов от горючих отходов и отложений необходимо составить акт произвольной формы, информацию о результатах работы внести в журнал эксплуатации систем противопожарной защиты (Приложение А к настоящим указаниям).</w:t>
      </w:r>
      <w:r>
        <w:rPr>
          <w:sz w:val="28"/>
          <w:szCs w:val="28"/>
        </w:rPr>
      </w:r>
    </w:p>
    <w:p>
      <w:pPr>
        <w:numPr>
          <w:ilvl w:val="2"/>
          <w:numId w:val="110"/>
        </w:numPr>
        <w:ind w:left="0" w:firstLine="709"/>
        <w:jc w:val="both"/>
        <w:tabs>
          <w:tab w:val="left" w:pos="1701" w:leader="none"/>
        </w:tabs>
        <w:rPr>
          <w:sz w:val="28"/>
          <w:szCs w:val="28"/>
        </w:rPr>
      </w:pPr>
      <w:r>
        <w:rPr>
          <w:sz w:val="28"/>
          <w:szCs w:val="28"/>
        </w:rPr>
        <w:t xml:space="preserve">Очистку вентиляционных систем взрывопожароопасных и пожароопасных помещений необходимо осуществлять взрывопожаробезопасными способами.</w:t>
      </w:r>
      <w:r>
        <w:rPr>
          <w:sz w:val="28"/>
          <w:szCs w:val="28"/>
        </w:rPr>
      </w:r>
    </w:p>
    <w:p>
      <w:pPr>
        <w:numPr>
          <w:ilvl w:val="2"/>
          <w:numId w:val="110"/>
        </w:numPr>
        <w:ind w:left="0" w:firstLine="709"/>
        <w:jc w:val="both"/>
        <w:tabs>
          <w:tab w:val="left" w:pos="1701" w:leader="none"/>
        </w:tabs>
        <w:rPr>
          <w:sz w:val="28"/>
          <w:szCs w:val="28"/>
        </w:rPr>
      </w:pPr>
      <w:r>
        <w:rPr>
          <w:sz w:val="28"/>
          <w:szCs w:val="28"/>
        </w:rPr>
        <w:t xml:space="preserve">В соответствии с технической документацией изготовителя необходимо обеспечить проверку огнезадерживающих устройств (заслонок, ши</w:t>
      </w:r>
      <w:r>
        <w:rPr>
          <w:sz w:val="28"/>
          <w:szCs w:val="28"/>
        </w:rPr>
        <w:t xml:space="preserve">беров, клапанов и др.) в воздуховодах, устройств блокировки вентиляционных систем с автоматическими установками пожарной сигнализации или пожаротушения, автоматических устройств отключения общеобменной вентиляции и кондиционирования при пожаре с внесением </w:t>
      </w:r>
      <w:r>
        <w:rPr>
          <w:sz w:val="28"/>
          <w:szCs w:val="28"/>
        </w:rPr>
        <w:t xml:space="preserve">информации в журнал эксплуатации систем противопожарной защиты (Приложение А к настоящим указаниям).</w:t>
      </w:r>
      <w:r>
        <w:rPr>
          <w:sz w:val="28"/>
          <w:szCs w:val="28"/>
        </w:rPr>
      </w:r>
    </w:p>
    <w:p>
      <w:pPr>
        <w:numPr>
          <w:ilvl w:val="2"/>
          <w:numId w:val="110"/>
        </w:numPr>
        <w:ind w:left="0" w:firstLine="709"/>
        <w:jc w:val="both"/>
        <w:tabs>
          <w:tab w:val="left" w:pos="1701" w:leader="none"/>
        </w:tabs>
        <w:rPr>
          <w:sz w:val="28"/>
          <w:szCs w:val="28"/>
        </w:rPr>
      </w:pPr>
      <w:r>
        <w:rPr>
          <w:sz w:val="28"/>
          <w:szCs w:val="28"/>
        </w:rPr>
        <w:t xml:space="preserve">При эксплуатации систем вентиляции и кондиционирования воздуха запрещается:</w:t>
      </w:r>
      <w:r>
        <w:rPr>
          <w:sz w:val="28"/>
          <w:szCs w:val="28"/>
        </w:rPr>
      </w:r>
    </w:p>
    <w:p>
      <w:pPr>
        <w:pStyle w:val="1142"/>
        <w:numPr>
          <w:ilvl w:val="0"/>
          <w:numId w:val="7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Оставлять двери вентиляционных камер открытыми.</w:t>
      </w:r>
      <w:r>
        <w:rPr>
          <w:rFonts w:ascii="Times New Roman" w:hAnsi="Times New Roman" w:cs="Times New Roman"/>
          <w:sz w:val="28"/>
          <w:szCs w:val="28"/>
        </w:rPr>
      </w:r>
    </w:p>
    <w:p>
      <w:pPr>
        <w:pStyle w:val="1142"/>
        <w:numPr>
          <w:ilvl w:val="0"/>
          <w:numId w:val="7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Закрывать вытяжные каналы, отверстия и решетки.</w:t>
      </w:r>
      <w:r>
        <w:rPr>
          <w:rFonts w:ascii="Times New Roman" w:hAnsi="Times New Roman" w:cs="Times New Roman"/>
          <w:sz w:val="28"/>
          <w:szCs w:val="28"/>
        </w:rPr>
      </w:r>
    </w:p>
    <w:p>
      <w:pPr>
        <w:pStyle w:val="1142"/>
        <w:numPr>
          <w:ilvl w:val="0"/>
          <w:numId w:val="7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Подключать к воздуховодам газовые отопительные приборы.</w:t>
      </w:r>
      <w:r>
        <w:rPr>
          <w:rFonts w:ascii="Times New Roman" w:hAnsi="Times New Roman" w:cs="Times New Roman"/>
          <w:sz w:val="28"/>
          <w:szCs w:val="28"/>
        </w:rPr>
      </w:r>
    </w:p>
    <w:p>
      <w:pPr>
        <w:pStyle w:val="1142"/>
        <w:numPr>
          <w:ilvl w:val="0"/>
          <w:numId w:val="7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Выжигать скопившиеся в воздуховодах жировые отложения, пыль и другие горючие вещества.</w:t>
      </w:r>
      <w:r>
        <w:rPr>
          <w:rFonts w:ascii="Times New Roman" w:hAnsi="Times New Roman" w:cs="Times New Roman"/>
          <w:sz w:val="28"/>
          <w:szCs w:val="28"/>
        </w:rPr>
      </w:r>
    </w:p>
    <w:p>
      <w:pPr>
        <w:pStyle w:val="1142"/>
        <w:numPr>
          <w:ilvl w:val="0"/>
          <w:numId w:val="7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Хранить в вентиляционных камерах материалы и оборудование.</w:t>
      </w:r>
      <w:r>
        <w:rPr>
          <w:rFonts w:ascii="Times New Roman" w:hAnsi="Times New Roman" w:cs="Times New Roman"/>
          <w:sz w:val="28"/>
          <w:szCs w:val="28"/>
        </w:rPr>
      </w:r>
    </w:p>
    <w:p>
      <w:pPr>
        <w:pStyle w:val="1142"/>
        <w:numPr>
          <w:ilvl w:val="0"/>
          <w:numId w:val="7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Эксплуатировать технологическое оборудование в взрывопожароопасных помещениях (установках) при неисправных и отключенных гидрофильтрах, сухих фильтрах, пылеулавливающих и других устройствах систем вентиляции (аспирации).</w:t>
      </w:r>
      <w:r>
        <w:rPr>
          <w:rFonts w:ascii="Times New Roman" w:hAnsi="Times New Roman" w:cs="Times New Roman"/>
          <w:sz w:val="28"/>
          <w:szCs w:val="28"/>
        </w:rPr>
      </w:r>
    </w:p>
    <w:p>
      <w:pPr>
        <w:ind w:left="709" w:firstLine="709"/>
        <w:jc w:val="both"/>
        <w:tabs>
          <w:tab w:val="left" w:pos="893" w:leader="none"/>
          <w:tab w:val="left" w:pos="1418" w:leader="none"/>
          <w:tab w:val="left" w:pos="1701" w:leader="none"/>
        </w:tabs>
        <w:rPr>
          <w:rStyle w:val="1256"/>
          <w:rFonts w:ascii="Times New Roman" w:hAnsi="Times New Roman" w:cs="Times New Roman"/>
          <w:sz w:val="28"/>
          <w:szCs w:val="28"/>
        </w:rPr>
      </w:pPr>
      <w:r>
        <w:rPr>
          <w:rFonts w:ascii="Times New Roman" w:hAnsi="Times New Roman" w:cs="Times New Roman"/>
          <w:sz w:val="28"/>
          <w:szCs w:val="28"/>
        </w:rPr>
      </w:r>
      <w:r>
        <w:rPr>
          <w:rStyle w:val="1256"/>
          <w:rFonts w:ascii="Times New Roman" w:hAnsi="Times New Roman" w:cs="Times New Roman"/>
          <w:sz w:val="28"/>
          <w:szCs w:val="28"/>
        </w:rPr>
      </w:r>
    </w:p>
    <w:p>
      <w:pPr>
        <w:pStyle w:val="1142"/>
        <w:numPr>
          <w:ilvl w:val="1"/>
          <w:numId w:val="111"/>
        </w:numPr>
        <w:ind w:left="0" w:firstLine="709"/>
        <w:jc w:val="both"/>
        <w:tabs>
          <w:tab w:val="left" w:pos="1418" w:leader="none"/>
        </w:tabs>
        <w:rPr>
          <w:rStyle w:val="1256"/>
          <w:rFonts w:ascii="Times New Roman" w:hAnsi="Times New Roman" w:cs="Times New Roman"/>
          <w:b/>
          <w:sz w:val="28"/>
          <w:szCs w:val="28"/>
        </w:rPr>
        <w:outlineLvl w:val="1"/>
      </w:pPr>
      <w:r/>
      <w:bookmarkStart w:id="106" w:name="ПБ_серверных_помещений_11_3"/>
      <w:r/>
      <w:bookmarkStart w:id="107" w:name="_Toc112328581"/>
      <w:r/>
      <w:bookmarkStart w:id="108" w:name="_Toc124499117"/>
      <w:r>
        <w:rPr>
          <w:rStyle w:val="1256"/>
          <w:rFonts w:ascii="Times New Roman" w:hAnsi="Times New Roman" w:cs="Times New Roman"/>
          <w:b/>
          <w:sz w:val="28"/>
          <w:szCs w:val="28"/>
        </w:rPr>
        <w:t xml:space="preserve">Пожарная безопасность серверных помещений</w:t>
      </w:r>
      <w:bookmarkEnd w:id="106"/>
      <w:r/>
      <w:bookmarkEnd w:id="107"/>
      <w:r/>
      <w:bookmarkEnd w:id="108"/>
      <w:r/>
      <w:r>
        <w:rPr>
          <w:rStyle w:val="1256"/>
          <w:rFonts w:ascii="Times New Roman" w:hAnsi="Times New Roman" w:cs="Times New Roman"/>
          <w:b/>
          <w:sz w:val="28"/>
          <w:szCs w:val="28"/>
        </w:rPr>
      </w:r>
    </w:p>
    <w:p>
      <w:pPr>
        <w:pStyle w:val="1142"/>
        <w:ind w:left="1418" w:firstLine="709"/>
        <w:jc w:val="both"/>
        <w:tabs>
          <w:tab w:val="left" w:pos="893" w:leader="none"/>
          <w:tab w:val="left" w:pos="1418" w:leader="none"/>
          <w:tab w:val="left" w:pos="1701" w:leader="none"/>
        </w:tabs>
        <w:rPr>
          <w:rStyle w:val="1256"/>
          <w:rFonts w:ascii="Times New Roman" w:hAnsi="Times New Roman" w:cs="Times New Roman"/>
          <w:b/>
          <w:sz w:val="28"/>
          <w:szCs w:val="28"/>
        </w:rPr>
      </w:pPr>
      <w:r>
        <w:rPr>
          <w:rFonts w:ascii="Times New Roman" w:hAnsi="Times New Roman" w:cs="Times New Roman"/>
          <w:b/>
          <w:sz w:val="28"/>
          <w:szCs w:val="28"/>
        </w:rPr>
      </w:r>
      <w:r>
        <w:rPr>
          <w:rStyle w:val="1256"/>
          <w:rFonts w:ascii="Times New Roman" w:hAnsi="Times New Roman" w:cs="Times New Roman"/>
          <w:b/>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Fonts w:ascii="Times New Roman" w:hAnsi="Times New Roman" w:eastAsia="Times New Roman" w:cs="Times New Roman"/>
          <w:sz w:val="28"/>
          <w:szCs w:val="28"/>
        </w:rPr>
      </w:pPr>
      <w:r>
        <w:rPr>
          <w:rStyle w:val="1256"/>
          <w:rFonts w:ascii="Times New Roman" w:hAnsi="Times New Roman" w:eastAsia="Times New Roman" w:cs="Times New Roman"/>
          <w:sz w:val="28"/>
          <w:szCs w:val="28"/>
        </w:rPr>
        <w:t xml:space="preserve">Все прокладки кабеля через ограждающие конструкции серверного помещения </w:t>
      </w:r>
      <w:r>
        <w:rPr>
          <w:rFonts w:ascii="Times New Roman" w:hAnsi="Times New Roman" w:cs="Times New Roman"/>
          <w:color w:val="000000"/>
          <w:sz w:val="28"/>
          <w:szCs w:val="28"/>
        </w:rPr>
        <w:t xml:space="preserve">осуществляют в специальных проходках с использованием негорючих материалов.</w:t>
      </w:r>
      <w:r>
        <w:rPr>
          <w:rStyle w:val="1256"/>
          <w:rFonts w:ascii="Times New Roman" w:hAnsi="Times New Roman" w:eastAsia="Times New Roman" w:cs="Times New Roman"/>
          <w:sz w:val="28"/>
          <w:szCs w:val="28"/>
        </w:rPr>
        <w:t xml:space="preserve"> Для этих</w:t>
      </w:r>
      <w:r>
        <w:rPr>
          <w:rStyle w:val="1256"/>
          <w:rFonts w:ascii="Times New Roman" w:hAnsi="Times New Roman" w:eastAsia="Times New Roman" w:cs="Times New Roman"/>
          <w:sz w:val="28"/>
          <w:szCs w:val="28"/>
        </w:rPr>
        <w:t xml:space="preserve"> целей можно использовать устанавливаемые в кабельной проходке специальные терморасширяющиеся составы или заглушки, которые в случае возникновения пожара расширяются, перекрывают пространство и не позволяют распространиться огню и дыму в смежные помещения.</w:t>
      </w:r>
      <w:r>
        <w:rPr>
          <w:rFonts w:ascii="Times New Roman" w:hAnsi="Times New Roman" w:eastAsia="Times New Roman" w:cs="Times New Roman"/>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Style w:val="1256"/>
          <w:rFonts w:ascii="Times New Roman" w:hAnsi="Times New Roman" w:eastAsia="Times New Roman" w:cs="Times New Roman"/>
          <w:sz w:val="28"/>
          <w:szCs w:val="28"/>
        </w:rPr>
      </w:pPr>
      <w:r>
        <w:rPr>
          <w:rFonts w:ascii="Times New Roman" w:hAnsi="Times New Roman" w:cs="Times New Roman"/>
          <w:color w:val="000000"/>
          <w:sz w:val="28"/>
          <w:szCs w:val="28"/>
        </w:rPr>
        <w:t xml:space="preserve">Помещения серверной надлежит выгораживать противопожарными преградами с заполнением дверного проёма противопожарной дверью с пределами огнестойкости в соответствии с требованиями действующих нормативных документов по пожарной безопасности.</w:t>
      </w:r>
      <w:r>
        <w:rPr>
          <w:rStyle w:val="1256"/>
          <w:rFonts w:ascii="Times New Roman" w:hAnsi="Times New Roman" w:eastAsia="Times New Roman" w:cs="Times New Roman"/>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Style w:val="1256"/>
          <w:rFonts w:ascii="Times New Roman" w:hAnsi="Times New Roman" w:eastAsia="Times New Roman" w:cs="Times New Roman"/>
          <w:sz w:val="28"/>
          <w:szCs w:val="28"/>
        </w:rPr>
      </w:pPr>
      <w:r>
        <w:rPr>
          <w:rStyle w:val="1256"/>
          <w:rFonts w:ascii="Times New Roman" w:hAnsi="Times New Roman" w:eastAsia="Times New Roman" w:cs="Times New Roman"/>
          <w:sz w:val="28"/>
          <w:szCs w:val="28"/>
        </w:rPr>
        <w:t xml:space="preserve">Опоры, плиты и стойки фальшполов, фальшполы, стеллажи и шкафы серверных помещений должны быть выполнены из негорючих материалов.</w:t>
      </w:r>
      <w:r>
        <w:rPr>
          <w:rStyle w:val="1256"/>
          <w:rFonts w:ascii="Times New Roman" w:hAnsi="Times New Roman" w:eastAsia="Times New Roman" w:cs="Times New Roman"/>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Style w:val="1256"/>
          <w:rFonts w:ascii="Times New Roman" w:hAnsi="Times New Roman" w:eastAsia="Times New Roman" w:cs="Times New Roman"/>
          <w:sz w:val="28"/>
          <w:szCs w:val="28"/>
        </w:rPr>
      </w:pPr>
      <w:r>
        <w:rPr>
          <w:rFonts w:ascii="Times New Roman" w:hAnsi="Times New Roman" w:cs="Times New Roman"/>
          <w:color w:val="000000"/>
          <w:sz w:val="28"/>
          <w:szCs w:val="28"/>
        </w:rPr>
        <w:t xml:space="preserve">Поверхности стен и материалы напольного покрытия </w:t>
      </w:r>
      <w:r>
        <w:rPr>
          <w:rStyle w:val="1256"/>
          <w:rFonts w:ascii="Times New Roman" w:hAnsi="Times New Roman" w:eastAsia="Times New Roman" w:cs="Times New Roman"/>
          <w:sz w:val="28"/>
          <w:szCs w:val="28"/>
        </w:rPr>
        <w:t xml:space="preserve">серверных помещений </w:t>
      </w:r>
      <w:r>
        <w:rPr>
          <w:rFonts w:ascii="Times New Roman" w:hAnsi="Times New Roman" w:cs="Times New Roman"/>
          <w:color w:val="000000"/>
          <w:sz w:val="28"/>
          <w:szCs w:val="28"/>
        </w:rPr>
        <w:t xml:space="preserve">не должны выделять и накапливать пыль. Напольные покрытия должны иметь антистатические качества.</w:t>
      </w:r>
      <w:r>
        <w:rPr>
          <w:rStyle w:val="1256"/>
          <w:rFonts w:ascii="Times New Roman" w:hAnsi="Times New Roman" w:eastAsia="Times New Roman" w:cs="Times New Roman"/>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Fonts w:ascii="Times New Roman" w:hAnsi="Times New Roman" w:eastAsia="Times New Roman" w:cs="Times New Roman"/>
          <w:sz w:val="28"/>
          <w:szCs w:val="28"/>
        </w:rPr>
      </w:pPr>
      <w:r>
        <w:rPr>
          <w:rFonts w:ascii="Times New Roman" w:hAnsi="Times New Roman" w:cs="Times New Roman"/>
          <w:color w:val="000000"/>
          <w:sz w:val="28"/>
          <w:szCs w:val="28"/>
        </w:rPr>
        <w:t xml:space="preserve">Во избежание перегрева оборудования должен быть обеспечен отвод из помещения излишков тепла, а также установлен контроль за поддержанием температурного режима и уровня влажности воздуха.</w:t>
      </w:r>
      <w:r>
        <w:rPr>
          <w:rFonts w:ascii="Times New Roman" w:hAnsi="Times New Roman" w:eastAsia="Times New Roman" w:cs="Times New Roman"/>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Fonts w:ascii="Times New Roman" w:hAnsi="Times New Roman" w:eastAsia="Times New Roman" w:cs="Times New Roman"/>
          <w:sz w:val="28"/>
          <w:szCs w:val="28"/>
        </w:rPr>
      </w:pPr>
      <w:r>
        <w:rPr>
          <w:rFonts w:ascii="Times New Roman" w:hAnsi="Times New Roman" w:cs="Times New Roman"/>
          <w:color w:val="000000"/>
          <w:sz w:val="28"/>
          <w:szCs w:val="28"/>
        </w:rPr>
        <w:t xml:space="preserve">Серверные помещения должны оборудоваться установками обнаружения и тушения пожара в соответствии с требованиями действующих нормативных документов по пожарной безопасности.</w:t>
      </w:r>
      <w:r>
        <w:rPr>
          <w:rFonts w:ascii="Times New Roman" w:hAnsi="Times New Roman" w:eastAsia="Times New Roman" w:cs="Times New Roman"/>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Fonts w:ascii="Times New Roman" w:hAnsi="Times New Roman" w:eastAsia="Times New Roman" w:cs="Times New Roman"/>
          <w:sz w:val="28"/>
          <w:szCs w:val="28"/>
        </w:rPr>
      </w:pPr>
      <w:r>
        <w:rPr>
          <w:rFonts w:ascii="Times New Roman" w:hAnsi="Times New Roman" w:cs="Times New Roman"/>
          <w:color w:val="000000"/>
          <w:sz w:val="28"/>
          <w:szCs w:val="28"/>
        </w:rPr>
        <w:t xml:space="preserve">Установки обнаружения и тушения пожара должны поддерживаться в исправном состоянии.</w:t>
      </w:r>
      <w:r>
        <w:rPr>
          <w:rFonts w:ascii="Times New Roman" w:hAnsi="Times New Roman" w:eastAsia="Times New Roman" w:cs="Times New Roman"/>
          <w:sz w:val="28"/>
          <w:szCs w:val="28"/>
        </w:rPr>
      </w:r>
    </w:p>
    <w:p>
      <w:pPr>
        <w:pStyle w:val="1184"/>
        <w:numPr>
          <w:ilvl w:val="2"/>
          <w:numId w:val="112"/>
        </w:numPr>
        <w:ind w:left="0" w:firstLine="709"/>
        <w:jc w:val="both"/>
        <w:spacing w:before="0" w:beforeAutospacing="0" w:after="0" w:afterAutospacing="0"/>
        <w:tabs>
          <w:tab w:val="left" w:pos="0" w:leader="none"/>
          <w:tab w:val="left" w:pos="1701" w:leader="none"/>
        </w:tabs>
        <w:rPr>
          <w:rStyle w:val="1256"/>
          <w:rFonts w:ascii="Times New Roman" w:hAnsi="Times New Roman" w:eastAsia="Times New Roman" w:cs="Times New Roman"/>
          <w:sz w:val="28"/>
          <w:szCs w:val="28"/>
        </w:rPr>
      </w:pPr>
      <w:r>
        <w:rPr>
          <w:rStyle w:val="1256"/>
          <w:rFonts w:ascii="Times New Roman" w:hAnsi="Times New Roman" w:eastAsia="Times New Roman" w:cs="Times New Roman"/>
          <w:sz w:val="28"/>
          <w:szCs w:val="28"/>
        </w:rPr>
        <w:t xml:space="preserve">В серверных помещениях запрещается:</w:t>
      </w:r>
      <w:r>
        <w:rPr>
          <w:rStyle w:val="1256"/>
          <w:rFonts w:ascii="Times New Roman" w:hAnsi="Times New Roman" w:eastAsia="Times New Roman" w:cs="Times New Roman"/>
          <w:sz w:val="28"/>
          <w:szCs w:val="28"/>
        </w:rPr>
      </w:r>
    </w:p>
    <w:p>
      <w:pPr>
        <w:pStyle w:val="1184"/>
        <w:ind w:firstLine="709"/>
        <w:jc w:val="both"/>
        <w:spacing w:before="0" w:beforeAutospacing="0" w:after="0" w:afterAutospacing="0"/>
        <w:tabs>
          <w:tab w:val="left" w:pos="1701" w:leader="none"/>
        </w:tabs>
        <w:rPr>
          <w:rFonts w:ascii="Times New Roman" w:hAnsi="Times New Roman" w:eastAsia="Times New Roman" w:cs="Times New Roman"/>
          <w:sz w:val="28"/>
          <w:szCs w:val="28"/>
        </w:rPr>
      </w:pPr>
      <w:r>
        <w:rPr>
          <w:rFonts w:ascii="Times New Roman" w:hAnsi="Times New Roman" w:cs="Times New Roman"/>
          <w:color w:val="000000"/>
          <w:sz w:val="28"/>
          <w:szCs w:val="28"/>
        </w:rPr>
        <w:t xml:space="preserve">12.3.8.1. Прокладывать транзитные коммуникации: водоснабжения, отопления, канализации и др.</w:t>
      </w:r>
      <w:r>
        <w:rPr>
          <w:rFonts w:ascii="Times New Roman" w:hAnsi="Times New Roman" w:eastAsia="Times New Roman" w:cs="Times New Roman"/>
          <w:sz w:val="28"/>
          <w:szCs w:val="28"/>
        </w:rPr>
      </w:r>
    </w:p>
    <w:p>
      <w:pPr>
        <w:pStyle w:val="1184"/>
        <w:numPr>
          <w:ilvl w:val="3"/>
          <w:numId w:val="117"/>
        </w:numPr>
        <w:ind w:left="0" w:firstLine="709"/>
        <w:jc w:val="both"/>
        <w:spacing w:before="0" w:beforeAutospacing="0" w:after="0" w:afterAutospacing="0"/>
        <w:tabs>
          <w:tab w:val="left" w:pos="1843" w:leader="none"/>
        </w:tabs>
        <w:rPr>
          <w:rFonts w:ascii="Times New Roman" w:hAnsi="Times New Roman" w:eastAsia="Times New Roman" w:cs="Times New Roman"/>
          <w:sz w:val="28"/>
          <w:szCs w:val="28"/>
        </w:rPr>
      </w:pPr>
      <w:r>
        <w:rPr>
          <w:rFonts w:ascii="Times New Roman" w:hAnsi="Times New Roman" w:cs="Times New Roman"/>
          <w:color w:val="000000"/>
          <w:sz w:val="28"/>
          <w:szCs w:val="28"/>
        </w:rPr>
        <w:t xml:space="preserve">Размещать технологическое оборудование и прокладывать транзитные кабели, не относящиеся к данному помещению.</w:t>
      </w:r>
      <w:r>
        <w:rPr>
          <w:rFonts w:ascii="Times New Roman" w:hAnsi="Times New Roman" w:eastAsia="Times New Roman" w:cs="Times New Roman"/>
          <w:sz w:val="28"/>
          <w:szCs w:val="28"/>
        </w:rPr>
      </w:r>
    </w:p>
    <w:p>
      <w:pPr>
        <w:pStyle w:val="1184"/>
        <w:numPr>
          <w:ilvl w:val="3"/>
          <w:numId w:val="117"/>
        </w:numPr>
        <w:ind w:left="0" w:firstLine="709"/>
        <w:jc w:val="both"/>
        <w:spacing w:before="0" w:beforeAutospacing="0" w:after="0" w:afterAutospacing="0"/>
        <w:tabs>
          <w:tab w:val="left" w:pos="1701" w:leader="none"/>
        </w:tabs>
        <w:rPr>
          <w:rFonts w:ascii="Times New Roman" w:hAnsi="Times New Roman" w:eastAsia="Times New Roman" w:cs="Times New Roman"/>
          <w:sz w:val="28"/>
          <w:szCs w:val="28"/>
        </w:rPr>
      </w:pPr>
      <w:r>
        <w:rPr>
          <w:rFonts w:ascii="Times New Roman" w:hAnsi="Times New Roman" w:cs="Times New Roman"/>
          <w:color w:val="000000"/>
          <w:sz w:val="28"/>
          <w:szCs w:val="28"/>
        </w:rPr>
        <w:t xml:space="preserve"> Хранить мебель и какие-либо другие вещества и материалы.</w:t>
      </w:r>
      <w:r>
        <w:rPr>
          <w:rFonts w:ascii="Times New Roman" w:hAnsi="Times New Roman" w:eastAsia="Times New Roman" w:cs="Times New Roman"/>
          <w:sz w:val="28"/>
          <w:szCs w:val="28"/>
        </w:rPr>
      </w:r>
    </w:p>
    <w:p>
      <w:pPr>
        <w:pStyle w:val="1184"/>
        <w:numPr>
          <w:ilvl w:val="3"/>
          <w:numId w:val="117"/>
        </w:numPr>
        <w:ind w:left="0" w:firstLine="709"/>
        <w:jc w:val="both"/>
        <w:spacing w:before="0" w:beforeAutospacing="0" w:after="0" w:afterAutospacing="0"/>
        <w:tabs>
          <w:tab w:val="left" w:pos="1701" w:leader="none"/>
        </w:tabs>
        <w:rPr>
          <w:rFonts w:ascii="Times New Roman" w:hAnsi="Times New Roman" w:eastAsia="Times New Roman" w:cs="Times New Roman"/>
          <w:sz w:val="28"/>
          <w:szCs w:val="28"/>
        </w:rPr>
      </w:pPr>
      <w:r>
        <w:rPr>
          <w:rFonts w:ascii="Times New Roman" w:hAnsi="Times New Roman" w:cs="Times New Roman"/>
          <w:color w:val="000000"/>
          <w:sz w:val="28"/>
          <w:szCs w:val="28"/>
        </w:rPr>
        <w:t xml:space="preserve"> Производить акустическую отделку горючими материалами.</w:t>
      </w:r>
      <w:r>
        <w:rPr>
          <w:rFonts w:ascii="Times New Roman" w:hAnsi="Times New Roman" w:eastAsia="Times New Roman" w:cs="Times New Roman"/>
          <w:sz w:val="28"/>
          <w:szCs w:val="28"/>
        </w:rPr>
      </w:r>
    </w:p>
    <w:p>
      <w:pPr>
        <w:pStyle w:val="1184"/>
        <w:numPr>
          <w:ilvl w:val="3"/>
          <w:numId w:val="117"/>
        </w:numPr>
        <w:ind w:left="0" w:firstLine="709"/>
        <w:jc w:val="both"/>
        <w:spacing w:before="0" w:beforeAutospacing="0" w:after="0" w:afterAutospacing="0"/>
        <w:tabs>
          <w:tab w:val="left" w:pos="1701" w:leader="none"/>
        </w:tabs>
        <w:rPr>
          <w:rStyle w:val="1256"/>
          <w:rFonts w:ascii="Times New Roman" w:hAnsi="Times New Roman" w:eastAsia="Times New Roman" w:cs="Times New Roman"/>
          <w:sz w:val="28"/>
          <w:szCs w:val="28"/>
        </w:rPr>
      </w:pPr>
      <w:r>
        <w:rPr>
          <w:rFonts w:ascii="Times New Roman" w:hAnsi="Times New Roman" w:cs="Times New Roman"/>
          <w:color w:val="000000"/>
          <w:sz w:val="28"/>
          <w:szCs w:val="28"/>
        </w:rPr>
        <w:t xml:space="preserve"> Курить, использовать неисправные электроприборы и оборудование.</w:t>
      </w:r>
      <w:r>
        <w:rPr>
          <w:rStyle w:val="1256"/>
          <w:rFonts w:ascii="Times New Roman" w:hAnsi="Times New Roman" w:eastAsia="Times New Roman" w:cs="Times New Roman"/>
          <w:sz w:val="28"/>
          <w:szCs w:val="28"/>
        </w:rPr>
      </w:r>
    </w:p>
    <w:p>
      <w:pPr>
        <w:pStyle w:val="1180"/>
        <w:jc w:val="both"/>
        <w:spacing w:before="0" w:beforeAutospacing="0" w:after="0" w:afterAutospacing="0"/>
        <w:tabs>
          <w:tab w:val="left" w:pos="3360" w:leader="none"/>
        </w:tabs>
      </w:pPr>
      <w:r>
        <w:tab/>
      </w:r>
      <w:r/>
    </w:p>
    <w:p>
      <w:pPr>
        <w:pStyle w:val="1180"/>
        <w:numPr>
          <w:ilvl w:val="0"/>
          <w:numId w:val="13"/>
        </w:numPr>
        <w:ind w:left="0" w:firstLine="709"/>
        <w:jc w:val="both"/>
        <w:spacing w:before="0" w:beforeAutospacing="0" w:after="0" w:afterAutospacing="0"/>
        <w:tabs>
          <w:tab w:val="left" w:pos="1418" w:leader="none"/>
        </w:tabs>
        <w:rPr>
          <w:b/>
          <w:sz w:val="32"/>
          <w:szCs w:val="32"/>
        </w:rPr>
        <w:outlineLvl w:val="0"/>
      </w:pPr>
      <w:r/>
      <w:bookmarkStart w:id="109" w:name="Треб_ПБ_при_проведении_СМР_13"/>
      <w:r/>
      <w:bookmarkStart w:id="110" w:name="_Toc124499118"/>
      <w:r>
        <w:rPr>
          <w:b/>
          <w:sz w:val="32"/>
          <w:szCs w:val="32"/>
        </w:rPr>
        <w:t xml:space="preserve">Требования пожарной безопасности при проведении строительно-монтажных работ</w:t>
      </w:r>
      <w:bookmarkEnd w:id="109"/>
      <w:r/>
      <w:bookmarkEnd w:id="110"/>
      <w:r/>
      <w:r>
        <w:rPr>
          <w:b/>
          <w:sz w:val="32"/>
          <w:szCs w:val="32"/>
        </w:rPr>
      </w:r>
    </w:p>
    <w:p>
      <w:pPr>
        <w:pStyle w:val="1180"/>
        <w:ind w:left="709" w:firstLine="709"/>
        <w:jc w:val="both"/>
        <w:spacing w:before="0" w:beforeAutospacing="0" w:after="0" w:afterAutospacing="0"/>
        <w:tabs>
          <w:tab w:val="left" w:pos="993" w:leader="none"/>
        </w:tabs>
      </w:pPr>
      <w:r/>
      <w:r/>
    </w:p>
    <w:p>
      <w:pPr>
        <w:pStyle w:val="1180"/>
        <w:numPr>
          <w:ilvl w:val="1"/>
          <w:numId w:val="13"/>
        </w:numPr>
        <w:ind w:left="0" w:firstLine="709"/>
        <w:jc w:val="both"/>
        <w:spacing w:before="0" w:beforeAutospacing="0" w:after="0" w:afterAutospacing="0"/>
        <w:tabs>
          <w:tab w:val="left" w:pos="1418" w:leader="none"/>
        </w:tabs>
        <w:rPr>
          <w:b/>
          <w:sz w:val="28"/>
          <w:szCs w:val="28"/>
        </w:rPr>
        <w:outlineLvl w:val="1"/>
      </w:pPr>
      <w:r/>
      <w:bookmarkStart w:id="111" w:name="ПБ_при_ремонте_и_реконстр_13_1"/>
      <w:r/>
      <w:bookmarkStart w:id="112" w:name="_Toc112328583"/>
      <w:r/>
      <w:bookmarkStart w:id="113" w:name="_Toc124499119"/>
      <w:r>
        <w:rPr>
          <w:b/>
          <w:sz w:val="28"/>
          <w:szCs w:val="28"/>
        </w:rPr>
        <w:t xml:space="preserve">Пожарная безопасность при ремонте и реконструкции оборудования, зданий и сооружений</w:t>
      </w:r>
      <w:bookmarkEnd w:id="111"/>
      <w:r/>
      <w:bookmarkEnd w:id="112"/>
      <w:r/>
      <w:bookmarkEnd w:id="113"/>
      <w:r/>
      <w:r>
        <w:rPr>
          <w:b/>
          <w:sz w:val="28"/>
          <w:szCs w:val="28"/>
        </w:rPr>
      </w:r>
    </w:p>
    <w:p>
      <w:pPr>
        <w:pStyle w:val="1180"/>
        <w:ind w:left="709" w:firstLine="709"/>
        <w:jc w:val="both"/>
        <w:spacing w:before="0" w:beforeAutospacing="0" w:after="0" w:afterAutospacing="0"/>
        <w:tabs>
          <w:tab w:val="left" w:pos="993" w:leader="none"/>
        </w:tabs>
        <w:rPr>
          <w:b/>
        </w:rPr>
      </w:pPr>
      <w:r>
        <w:rPr>
          <w:b/>
        </w:rPr>
      </w:r>
      <w:r>
        <w:rPr>
          <w:b/>
        </w:rPr>
      </w:r>
    </w:p>
    <w:p>
      <w:pPr>
        <w:pStyle w:val="1142"/>
        <w:numPr>
          <w:ilvl w:val="2"/>
          <w:numId w:val="31"/>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Планово-предупредительный ремонт и профилактический осмотр оборудования должны проводиться в установленные сроки и при выполнении мер пожарной безопасности, предусмотренных проектом и технологическим регламентом.</w:t>
      </w:r>
      <w:r>
        <w:rPr>
          <w:rFonts w:ascii="Times New Roman" w:hAnsi="Times New Roman" w:cs="Times New Roman"/>
          <w:color w:val="000000"/>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Во взрывопожароопасных помещениях категории А и Б (аккумуляторная и др.) должен применяться только инструмент, изготовленный из безыскровых материалов или в соответствующем взрывобезопасном исполнении.</w:t>
      </w:r>
      <w:r>
        <w:rPr>
          <w:rFonts w:ascii="Times New Roman" w:hAnsi="Times New Roman" w:cs="Times New Roman"/>
          <w:color w:val="000000"/>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Подача ЛВЖ, ГЖ и ГГ к рабочим местам должна ос</w:t>
      </w:r>
      <w:r>
        <w:rPr>
          <w:rFonts w:ascii="Times New Roman" w:hAnsi="Times New Roman" w:cs="Times New Roman"/>
          <w:color w:val="000000"/>
          <w:sz w:val="28"/>
          <w:szCs w:val="28"/>
        </w:rPr>
        <w:t xml:space="preserve">уществляться централизованно. Допускается небольшое количество ЛВЖ и ГЖ доставлять к рабочему месту в специальной безопасной таре. Применение открытой тары не разрешается. На рабочих местах количество этих жидкостей не должно превышать сменную потребность.</w:t>
      </w:r>
      <w:r>
        <w:rPr>
          <w:rFonts w:ascii="Times New Roman" w:hAnsi="Times New Roman" w:cs="Times New Roman"/>
          <w:color w:val="000000"/>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Спецодежда работающих с горючими материалами должна своевременно подвергаться стирке (химчистке) и ремонту в соответствии с установленным графиком.</w:t>
      </w:r>
      <w:r>
        <w:rPr>
          <w:rFonts w:ascii="Times New Roman" w:hAnsi="Times New Roman" w:cs="Times New Roman"/>
          <w:sz w:val="28"/>
          <w:szCs w:val="28"/>
        </w:rPr>
        <w:t xml:space="preserve"> Специ</w:t>
      </w:r>
      <w:r>
        <w:rPr>
          <w:rFonts w:ascii="Times New Roman" w:hAnsi="Times New Roman" w:cs="Times New Roman"/>
          <w:sz w:val="28"/>
          <w:szCs w:val="28"/>
        </w:rPr>
        <w:t xml:space="preserve">альная одежда лиц, работающих с маслами, лаками, красками и другими легковоспламеняющимися и горючими жидкостями, должна храниться в подвешенном виде в шкафах, выполненных из негорючих материалов, установленных в специально отведенных для этой цели местах.</w:t>
      </w:r>
      <w:r>
        <w:rPr>
          <w:rFonts w:ascii="Times New Roman" w:hAnsi="Times New Roman" w:cs="Times New Roman"/>
          <w:color w:val="000000"/>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 выполнении окрасочных ремонтных работ должны выполняться следующие требования:</w:t>
      </w:r>
      <w:r>
        <w:rPr>
          <w:rFonts w:ascii="Times New Roman" w:hAnsi="Times New Roman" w:cs="Times New Roman"/>
          <w:color w:val="000000"/>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Составление и разбавление всех видов лаков и красок необходимо</w:t>
      </w:r>
      <w:r>
        <w:rPr>
          <w:rFonts w:ascii="Times New Roman" w:hAnsi="Times New Roman" w:cs="Times New Roman"/>
          <w:color w:val="000000"/>
          <w:sz w:val="28"/>
          <w:szCs w:val="28"/>
        </w:rPr>
        <w:br w:type="textWrapping" w:clear="all"/>
        <w:t xml:space="preserve">производить в изолированных помещениях у наружной стены с оконными проемами или на открытых площадках. Подача окрасочных материалов должна производиться в готовом виде централизованно.</w:t>
      </w:r>
      <w:r>
        <w:rPr>
          <w:rFonts w:ascii="Times New Roman" w:hAnsi="Times New Roman" w:cs="Times New Roman"/>
          <w:color w:val="000000"/>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Налив лаков и красок должен производиться с помощью средств</w:t>
      </w:r>
      <w:r>
        <w:rPr>
          <w:rFonts w:ascii="Times New Roman" w:hAnsi="Times New Roman" w:cs="Times New Roman"/>
          <w:sz w:val="28"/>
          <w:szCs w:val="28"/>
        </w:rPr>
        <w:br w:type="textWrapping" w:clear="all"/>
        <w:t xml:space="preserve">малой механизации.</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Установки и приспособления для окраски должны быть </w:t>
      </w:r>
      <w:r>
        <w:rPr>
          <w:rFonts w:ascii="Times New Roman" w:hAnsi="Times New Roman" w:cs="Times New Roman"/>
          <w:sz w:val="28"/>
          <w:szCs w:val="28"/>
        </w:rPr>
        <w:t xml:space="preserve">исправны и должны обеспечивать требуемую герметичность оборудования при нормальном давлении и режиме работы.</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Емкости с лакокрасочными материалами должны быть вместимостью, обеспечивающей сменную потребность.</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Окрасочные работы, которые предусмотрено проводить во всем объеме помещения, должны начинаться с участка, наиболее удаленного от основного эвакуационного выхода.</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Тара из-под лакокрасочных материалов должна быть плотно закрыта и должна храниться на специально отведенных площадках.</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Пустая тара из-под лакокрасочных материалов должна удаляться по мере ее освобождения и после окончания смены.</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Пролитые окрасочные материалы и растворители следует немедленно убирать при помощи опилок, воды и др.</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Должна быть обеспечена вентиляция зоны окраски или ограничен объем разовых окрасочных работ в смену для соблюдения санитарных норм воздушной среды.</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Использованный при работе с маслами, лаками, красками и другими легковоспламеняющи</w:t>
      </w:r>
      <w:r>
        <w:rPr>
          <w:rFonts w:ascii="Times New Roman" w:hAnsi="Times New Roman" w:cs="Times New Roman"/>
          <w:sz w:val="28"/>
          <w:szCs w:val="28"/>
        </w:rPr>
        <w:t xml:space="preserve">мися и горючими жидкостями обтирочный материал (ветошь, бумага и др.) после окончания работы должен храниться в металлических емкостях с плотно закрывающейся крышкой или утилизироваться в мусорный контейнер, установленный на площадке сбора бытовых отходов.</w:t>
      </w:r>
      <w:r>
        <w:rPr>
          <w:rFonts w:ascii="Times New Roman" w:hAnsi="Times New Roman" w:cs="Times New Roman"/>
          <w:sz w:val="28"/>
          <w:szCs w:val="28"/>
        </w:rPr>
      </w:r>
    </w:p>
    <w:p>
      <w:pPr>
        <w:pStyle w:val="1142"/>
        <w:numPr>
          <w:ilvl w:val="0"/>
          <w:numId w:val="75"/>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 Работа по очистке инструмента и оборудования с применением легковоспламеняющихся и горючих жидкостей должна производиться пожаробезопасным способом, исключающим возможность искрообразования.</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 производстве окрасочных работ </w:t>
      </w:r>
      <w:r>
        <w:rPr>
          <w:rFonts w:ascii="Times New Roman" w:hAnsi="Times New Roman" w:cs="Times New Roman"/>
          <w:bCs/>
          <w:iCs/>
          <w:color w:val="000000"/>
          <w:sz w:val="28"/>
          <w:szCs w:val="28"/>
        </w:rPr>
        <w:t xml:space="preserve">запрещается:</w:t>
      </w:r>
      <w:r>
        <w:rPr>
          <w:rFonts w:ascii="Times New Roman" w:hAnsi="Times New Roman" w:cs="Times New Roman"/>
          <w:color w:val="000000"/>
          <w:sz w:val="28"/>
          <w:szCs w:val="28"/>
        </w:rPr>
      </w:r>
    </w:p>
    <w:p>
      <w:pPr>
        <w:pStyle w:val="1142"/>
        <w:numPr>
          <w:ilvl w:val="1"/>
          <w:numId w:val="7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Проводить окрасочные работы при отсутствии средств пожаротушения или их неисправности (необходимость наличия средств пожаротушения определяется в каждом конкретном случае отдельно в зависимости от объема используемых материалов и проводимых работ). </w:t>
      </w:r>
      <w:r>
        <w:rPr>
          <w:rFonts w:ascii="Times New Roman" w:hAnsi="Times New Roman" w:cs="Times New Roman"/>
          <w:sz w:val="28"/>
          <w:szCs w:val="28"/>
        </w:rPr>
      </w:r>
    </w:p>
    <w:p>
      <w:pPr>
        <w:pStyle w:val="1142"/>
        <w:numPr>
          <w:ilvl w:val="1"/>
          <w:numId w:val="7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Начинать окрасочные работы, если в зоне ближе 20 м идут ремонтные работы с применением открытого огня (искрообразованием). При необходимости проведения окраски следует требовать прекращения огневых работ.</w:t>
      </w:r>
      <w:r>
        <w:rPr>
          <w:rFonts w:ascii="Times New Roman" w:hAnsi="Times New Roman" w:cs="Times New Roman"/>
          <w:sz w:val="28"/>
          <w:szCs w:val="28"/>
        </w:rPr>
      </w:r>
    </w:p>
    <w:p>
      <w:pPr>
        <w:pStyle w:val="1142"/>
        <w:numPr>
          <w:ilvl w:val="1"/>
          <w:numId w:val="7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окраску технологического оборудования во время его гидравлического и пневматического испытания, в том числе в зоне испытания трубопроводов этого оборудования.</w:t>
      </w:r>
      <w:r>
        <w:rPr>
          <w:rFonts w:ascii="Times New Roman" w:hAnsi="Times New Roman" w:cs="Times New Roman"/>
          <w:sz w:val="28"/>
          <w:szCs w:val="28"/>
        </w:rPr>
      </w:r>
    </w:p>
    <w:p>
      <w:pPr>
        <w:pStyle w:val="1142"/>
        <w:numPr>
          <w:ilvl w:val="1"/>
          <w:numId w:val="7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окрасочные работы при отсутствии естественной или принудительной вентиляции.</w:t>
      </w:r>
      <w:r>
        <w:rPr>
          <w:rFonts w:ascii="Times New Roman" w:hAnsi="Times New Roman" w:cs="Times New Roman"/>
          <w:sz w:val="28"/>
          <w:szCs w:val="28"/>
        </w:rPr>
      </w:r>
    </w:p>
    <w:p>
      <w:pPr>
        <w:pStyle w:val="1142"/>
        <w:numPr>
          <w:ilvl w:val="1"/>
          <w:numId w:val="7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мытье полов, стен и оборудования горючими растворителями.</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регенерации масла на стационарно установленных или передвижных центрифугах должно быть организовано постоянное </w:t>
      </w:r>
      <w:r>
        <w:rPr>
          <w:rFonts w:ascii="Times New Roman" w:hAnsi="Times New Roman" w:cs="Times New Roman"/>
          <w:sz w:val="28"/>
          <w:szCs w:val="28"/>
        </w:rPr>
        <w:t xml:space="preserve">наблюдение персонала за их работой и температурой масла, которая должна поддерживаться в пределах, указанных в технических условиях. Пролитое в процессе очистки масло следует немедленно убирать.</w:t>
      </w:r>
      <w:r>
        <w:rPr>
          <w:rFonts w:ascii="Times New Roman" w:hAnsi="Times New Roman" w:cs="Times New Roman"/>
          <w:sz w:val="28"/>
          <w:szCs w:val="28"/>
        </w:rPr>
      </w:r>
    </w:p>
    <w:p>
      <w:pPr>
        <w:pStyle w:val="1142"/>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Установка должна немедленно отключаться при появлени</w:t>
      </w:r>
      <w:r>
        <w:rPr>
          <w:rFonts w:ascii="Times New Roman" w:hAnsi="Times New Roman" w:cs="Times New Roman"/>
          <w:sz w:val="28"/>
          <w:szCs w:val="28"/>
        </w:rPr>
        <w:t xml:space="preserve">и течей масла или других неисправностей, угрожающих возникновением пожара или ее разрушением. При работах на передвижной центрифуге должен быть оборудован дополнительный пост первичных средств пожаротушения, если отсутствует постоянный пост в радиусе 20 м.</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сушке трансформатора необходимо:</w:t>
      </w:r>
      <w:r>
        <w:rPr>
          <w:rFonts w:ascii="Times New Roman" w:hAnsi="Times New Roman" w:cs="Times New Roman"/>
          <w:sz w:val="28"/>
          <w:szCs w:val="28"/>
        </w:rPr>
      </w:r>
    </w:p>
    <w:p>
      <w:pPr>
        <w:pStyle w:val="1142"/>
        <w:numPr>
          <w:ilvl w:val="0"/>
          <w:numId w:val="7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Оборудовать место работ дополнительным постом первичных средств пожаротушения и проверить их исправность, если в радиусе 20 м отсутствует постоянный пост.</w:t>
      </w:r>
      <w:r>
        <w:rPr>
          <w:rFonts w:ascii="Times New Roman" w:hAnsi="Times New Roman" w:cs="Times New Roman"/>
          <w:sz w:val="28"/>
          <w:szCs w:val="28"/>
        </w:rPr>
      </w:r>
    </w:p>
    <w:p>
      <w:pPr>
        <w:pStyle w:val="1142"/>
        <w:numPr>
          <w:ilvl w:val="0"/>
          <w:numId w:val="7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Использовать установки с эксплуатационными параметрами, обеспечивающими заданный режим сушки, соблюдать требования по эксплуатации технологических установок.</w:t>
      </w:r>
      <w:r>
        <w:rPr>
          <w:rFonts w:ascii="Times New Roman" w:hAnsi="Times New Roman" w:cs="Times New Roman"/>
          <w:sz w:val="28"/>
          <w:szCs w:val="28"/>
        </w:rPr>
      </w:r>
    </w:p>
    <w:p>
      <w:pPr>
        <w:pStyle w:val="1142"/>
        <w:numPr>
          <w:ilvl w:val="0"/>
          <w:numId w:val="7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Шланги для циркуляции масла необходимо использовать только маслостойкие, не имеющие видимых нарушений и повреждений.</w:t>
      </w:r>
      <w:r>
        <w:rPr>
          <w:rFonts w:ascii="Times New Roman" w:hAnsi="Times New Roman" w:cs="Times New Roman"/>
          <w:sz w:val="28"/>
          <w:szCs w:val="28"/>
        </w:rPr>
      </w:r>
    </w:p>
    <w:p>
      <w:pPr>
        <w:pStyle w:val="1142"/>
        <w:numPr>
          <w:ilvl w:val="0"/>
          <w:numId w:val="7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Обеспечить прочное соединение циркуляционных шлангов для предотвращения протечек масла.</w:t>
      </w:r>
      <w:r>
        <w:rPr>
          <w:rFonts w:ascii="Times New Roman" w:hAnsi="Times New Roman" w:cs="Times New Roman"/>
          <w:sz w:val="28"/>
          <w:szCs w:val="28"/>
        </w:rPr>
      </w:r>
    </w:p>
    <w:p>
      <w:pPr>
        <w:pStyle w:val="1142"/>
        <w:numPr>
          <w:ilvl w:val="0"/>
          <w:numId w:val="7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весь период работ установить дежурство персонала, который должен быть хорошо проинструктирован о мерах, принимаемых при возникновении пожара.</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передаче ремонтной, монтажной и другой организации на ремонт, реконструкцию или мон</w:t>
      </w:r>
      <w:r>
        <w:rPr>
          <w:rFonts w:ascii="Times New Roman" w:hAnsi="Times New Roman" w:cs="Times New Roman"/>
          <w:sz w:val="28"/>
          <w:szCs w:val="28"/>
        </w:rPr>
        <w:t xml:space="preserve">таж технологического оборудования общая ответственность с руководителя объекта за противопожарное состояние участков, где проводятся эти работы, не снимается, за исключением случая, когда здание полностью передается подрядной организации для реконструкции </w:t>
      </w:r>
      <w:r>
        <w:rPr>
          <w:rFonts w:ascii="Times New Roman" w:hAnsi="Times New Roman" w:cs="Times New Roman"/>
          <w:iCs/>
          <w:sz w:val="28"/>
          <w:szCs w:val="28"/>
        </w:rPr>
        <w:t xml:space="preserve">по акту.</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Установленный противопожарный режим в Филиале является обязательным для персонала подрядных, ремонтных, строительно-монтажных и наладочных организаций и должен строго выполняться, за что должностные лица этих организаций несут персональную ответственность.</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выводе в ремонт систем противопожарного водоснабжения, отключению от системы водоснабжения и производству работ должны предшествовать подготовительные работы, а отключение должно проводиться на минимальные восстановительные сроки.</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Меры и контроль за пожарной безопасностью на ремонтных и строительных площадках, а также при монтажных и наладочных работах определяется руководителем подразделения совместно с организацией, проводящей эти работы.</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устройстве лесов и подмостей в период ремонта и реконструкции технологического оборудования, зданий и сооружений должны выполняться следующие противопожарные требования:</w:t>
      </w:r>
      <w:r>
        <w:rPr>
          <w:rFonts w:ascii="Times New Roman" w:hAnsi="Times New Roman" w:cs="Times New Roman"/>
          <w:sz w:val="28"/>
          <w:szCs w:val="28"/>
        </w:rPr>
      </w:r>
    </w:p>
    <w:p>
      <w:pPr>
        <w:pStyle w:val="1250"/>
        <w:numPr>
          <w:ilvl w:val="1"/>
          <w:numId w:val="78"/>
        </w:numPr>
        <w:ind w:left="0" w:firstLine="709"/>
        <w:spacing w:after="0"/>
        <w:tabs>
          <w:tab w:val="left" w:pos="1701" w:leader="none"/>
        </w:tabs>
        <w:rPr>
          <w:sz w:val="28"/>
          <w:szCs w:val="28"/>
        </w:rPr>
      </w:pPr>
      <w:r>
        <w:rPr>
          <w:sz w:val="28"/>
          <w:szCs w:val="28"/>
        </w:rPr>
        <w:t xml:space="preserve">Деревянные конструкции лесов и подмостей должны пропитываться огнезащитным составом. Деревянные конструкции лесов и </w:t>
      </w:r>
      <w:r>
        <w:rPr>
          <w:sz w:val="28"/>
          <w:szCs w:val="28"/>
        </w:rPr>
        <w:t xml:space="preserve">подмостей, устанавливаемые снаружи зданий, допускается подвергать наружной (поверхностной) обработке огнезащитным составом только в летний период.</w:t>
      </w:r>
      <w:r>
        <w:rPr>
          <w:sz w:val="28"/>
          <w:szCs w:val="28"/>
        </w:rPr>
      </w:r>
    </w:p>
    <w:p>
      <w:pPr>
        <w:pStyle w:val="1250"/>
        <w:numPr>
          <w:ilvl w:val="1"/>
          <w:numId w:val="78"/>
        </w:numPr>
        <w:ind w:left="0" w:firstLine="709"/>
        <w:spacing w:after="0"/>
        <w:tabs>
          <w:tab w:val="left" w:pos="1701" w:leader="none"/>
        </w:tabs>
        <w:rPr>
          <w:sz w:val="28"/>
          <w:szCs w:val="28"/>
        </w:rPr>
      </w:pPr>
      <w:r>
        <w:rPr>
          <w:sz w:val="28"/>
          <w:szCs w:val="28"/>
        </w:rPr>
        <w:t xml:space="preserve">Запрещается строительные леса закрывать (утеплять) горючими материалами (фанера, пластик, плиты ДВП и др.).</w:t>
      </w:r>
      <w:r>
        <w:rPr>
          <w:sz w:val="28"/>
          <w:szCs w:val="28"/>
        </w:rPr>
      </w:r>
    </w:p>
    <w:p>
      <w:pPr>
        <w:pStyle w:val="1142"/>
        <w:numPr>
          <w:ilvl w:val="1"/>
          <w:numId w:val="78"/>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Сварочные и другие огневые работы на высоте (леса, подмости и люльки) в зданиях разрешается производить только после принятия мер против разлета и пад</w:t>
      </w:r>
      <w:r>
        <w:rPr>
          <w:rFonts w:ascii="Times New Roman" w:hAnsi="Times New Roman" w:cs="Times New Roman"/>
          <w:sz w:val="28"/>
          <w:szCs w:val="28"/>
        </w:rPr>
        <w:t xml:space="preserve">ения расплавленного металла на сгораемые конструкции и материалы и исключения их загорания. Они должны быть надежно защищены от возгорания металлическими экранами или пролиты водой. При необходимости следует выставлять наблюдающих на нижележащих площадках.</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ремонтных работах для обмывки и обезжиривания деталей технологического оборудования, обмоток трансформаторов, генераторов и электродвигателей должны применяться пожаробезопасные моющие средства.</w:t>
      </w:r>
      <w:r>
        <w:rPr>
          <w:rFonts w:ascii="Times New Roman" w:hAnsi="Times New Roman" w:cs="Times New Roman"/>
          <w:sz w:val="28"/>
          <w:szCs w:val="28"/>
        </w:rPr>
      </w:r>
    </w:p>
    <w:p>
      <w:pPr>
        <w:pStyle w:val="1142"/>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исключительных случаях, при невозможности по техническим причинам исполь</w:t>
      </w:r>
      <w:r>
        <w:rPr>
          <w:rFonts w:ascii="Times New Roman" w:hAnsi="Times New Roman" w:cs="Times New Roman"/>
          <w:sz w:val="28"/>
          <w:szCs w:val="28"/>
        </w:rPr>
        <w:t xml:space="preserve">зовать пожаробезопасные моющие средства, допускается применение горючих жидкостей (растворителей, бензина и др.) в количествах, требуемых для разового использования, но не более 1 л. При этом следует применять только закрытую тару из небьющегося материала.</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Во время ремонтных работ должны выполняться следующие мероприятия:</w:t>
      </w:r>
      <w:r>
        <w:rPr>
          <w:rFonts w:ascii="Times New Roman" w:hAnsi="Times New Roman" w:cs="Times New Roman"/>
          <w:sz w:val="28"/>
          <w:szCs w:val="28"/>
        </w:rPr>
      </w:r>
    </w:p>
    <w:p>
      <w:pPr>
        <w:pStyle w:val="1250"/>
        <w:numPr>
          <w:ilvl w:val="0"/>
          <w:numId w:val="79"/>
        </w:numPr>
        <w:ind w:left="0" w:firstLine="709"/>
        <w:spacing w:after="0"/>
        <w:tabs>
          <w:tab w:val="left" w:pos="1701" w:leader="none"/>
        </w:tabs>
        <w:rPr>
          <w:sz w:val="28"/>
          <w:szCs w:val="28"/>
        </w:rPr>
      </w:pPr>
      <w:r>
        <w:rPr>
          <w:sz w:val="28"/>
          <w:szCs w:val="28"/>
        </w:rPr>
        <w:t xml:space="preserve">Должны быть обеспечены свободные проходы и проезды, пути эвакуации, а также подходы к средствам пожаротушения.</w:t>
      </w:r>
      <w:r>
        <w:rPr>
          <w:sz w:val="28"/>
          <w:szCs w:val="28"/>
        </w:rPr>
      </w:r>
    </w:p>
    <w:p>
      <w:pPr>
        <w:pStyle w:val="1250"/>
        <w:numPr>
          <w:ilvl w:val="0"/>
          <w:numId w:val="79"/>
        </w:numPr>
        <w:ind w:left="0" w:firstLine="709"/>
        <w:spacing w:after="0"/>
        <w:tabs>
          <w:tab w:val="left" w:pos="1701" w:leader="none"/>
        </w:tabs>
        <w:rPr>
          <w:sz w:val="28"/>
          <w:szCs w:val="28"/>
        </w:rPr>
      </w:pPr>
      <w:r>
        <w:rPr>
          <w:sz w:val="28"/>
          <w:szCs w:val="28"/>
        </w:rPr>
        <w:t xml:space="preserve">Сварочные и другие </w:t>
      </w:r>
      <w:r>
        <w:rPr>
          <w:iCs/>
          <w:sz w:val="28"/>
          <w:szCs w:val="28"/>
        </w:rPr>
        <w:t xml:space="preserve">огневые</w:t>
      </w:r>
      <w:r>
        <w:rPr>
          <w:i/>
          <w:iCs/>
          <w:sz w:val="28"/>
          <w:szCs w:val="28"/>
        </w:rPr>
        <w:t xml:space="preserve"> </w:t>
      </w:r>
      <w:r>
        <w:rPr>
          <w:sz w:val="28"/>
          <w:szCs w:val="28"/>
        </w:rPr>
        <w:t xml:space="preserve">работы должны проводиться только на том оборудовании, которое нельзя вынести на постоянный сварочный пост.</w:t>
      </w:r>
      <w:r>
        <w:rPr>
          <w:sz w:val="28"/>
          <w:szCs w:val="28"/>
        </w:rPr>
      </w:r>
    </w:p>
    <w:p>
      <w:pPr>
        <w:pStyle w:val="1250"/>
        <w:numPr>
          <w:ilvl w:val="0"/>
          <w:numId w:val="79"/>
        </w:numPr>
        <w:ind w:left="0" w:firstLine="709"/>
        <w:spacing w:after="0"/>
        <w:tabs>
          <w:tab w:val="left" w:pos="1701" w:leader="none"/>
        </w:tabs>
        <w:rPr>
          <w:sz w:val="28"/>
          <w:szCs w:val="28"/>
        </w:rPr>
      </w:pPr>
      <w:r>
        <w:rPr>
          <w:sz w:val="28"/>
          <w:szCs w:val="28"/>
        </w:rPr>
        <w:t xml:space="preserve">Пролитое масло и другие жидкости следует немедленно убирать.</w:t>
      </w:r>
      <w:r>
        <w:rPr>
          <w:sz w:val="28"/>
          <w:szCs w:val="28"/>
        </w:rPr>
      </w:r>
    </w:p>
    <w:p>
      <w:pPr>
        <w:pStyle w:val="1142"/>
        <w:numPr>
          <w:ilvl w:val="0"/>
          <w:numId w:val="79"/>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Промасленные обтирочные материалы надо складывать в закрытые железные ящики, которые после окончания работы следует выносить (вывозить) из помещения для утилизации.</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ремонте оборудования детали и материалы должны размещаться на ремонтных площадках, чтобы не загромождать основные проходы и проезды транспорта внутри зданий и подъезды к ним.</w:t>
      </w:r>
      <w:r>
        <w:rPr>
          <w:rFonts w:ascii="Times New Roman" w:hAnsi="Times New Roman" w:cs="Times New Roman"/>
          <w:sz w:val="28"/>
          <w:szCs w:val="28"/>
        </w:rPr>
      </w:r>
    </w:p>
    <w:p>
      <w:pPr>
        <w:pStyle w:val="1142"/>
        <w:numPr>
          <w:ilvl w:val="2"/>
          <w:numId w:val="31"/>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Слив масла из трансформаторов и реакторов (или их заполнение) на р</w:t>
      </w:r>
      <w:r>
        <w:rPr>
          <w:rFonts w:ascii="Times New Roman" w:hAnsi="Times New Roman" w:cs="Times New Roman"/>
          <w:sz w:val="28"/>
          <w:szCs w:val="28"/>
        </w:rPr>
        <w:t xml:space="preserve">емонтной площадке, в трансформаторной мастерской, на специальной или монтажной площадке должен осуществляться путем подключения переносных шлангов к централизованной разводке маслопроводов маслохозяйства и с использованием специальных баков для этих целей.</w:t>
      </w:r>
      <w:r>
        <w:rPr>
          <w:rFonts w:ascii="Times New Roman" w:hAnsi="Times New Roman" w:cs="Times New Roman"/>
          <w:sz w:val="28"/>
          <w:szCs w:val="28"/>
        </w:rPr>
      </w:r>
    </w:p>
    <w:p>
      <w:pPr>
        <w:pStyle w:val="1142"/>
        <w:ind w:left="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1142"/>
        <w:ind w:left="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1180"/>
        <w:numPr>
          <w:ilvl w:val="1"/>
          <w:numId w:val="13"/>
        </w:numPr>
        <w:ind w:left="0" w:firstLine="709"/>
        <w:jc w:val="both"/>
        <w:spacing w:before="0" w:beforeAutospacing="0" w:after="0" w:afterAutospacing="0"/>
        <w:tabs>
          <w:tab w:val="left" w:pos="1418" w:leader="none"/>
        </w:tabs>
        <w:rPr>
          <w:b/>
          <w:sz w:val="28"/>
          <w:szCs w:val="28"/>
        </w:rPr>
        <w:outlineLvl w:val="1"/>
      </w:pPr>
      <w:r/>
      <w:bookmarkStart w:id="114" w:name="ПБ_при_провед_свар_и_др_огн_раб_13_2"/>
      <w:r/>
      <w:bookmarkStart w:id="115" w:name="_Toc112328584"/>
      <w:r/>
      <w:bookmarkStart w:id="116" w:name="_Toc124499120"/>
      <w:r/>
      <w:bookmarkEnd w:id="114"/>
      <w:r>
        <w:rPr>
          <w:b/>
          <w:sz w:val="28"/>
          <w:szCs w:val="28"/>
        </w:rPr>
        <w:t xml:space="preserve">Требования пожарной безопасности при проведении сварочных и других огневых работ</w:t>
      </w:r>
      <w:bookmarkEnd w:id="115"/>
      <w:r/>
      <w:bookmarkEnd w:id="116"/>
      <w:r/>
      <w:r>
        <w:rPr>
          <w:b/>
          <w:sz w:val="28"/>
          <w:szCs w:val="28"/>
        </w:rPr>
      </w:r>
    </w:p>
    <w:p>
      <w:pPr>
        <w:pStyle w:val="1180"/>
        <w:ind w:left="851" w:firstLine="709"/>
        <w:jc w:val="both"/>
        <w:spacing w:before="0" w:beforeAutospacing="0" w:after="0" w:afterAutospacing="0"/>
        <w:tabs>
          <w:tab w:val="left" w:pos="0" w:leader="none"/>
          <w:tab w:val="left" w:pos="1134" w:leader="none"/>
          <w:tab w:val="left" w:pos="1701" w:leader="none"/>
        </w:tabs>
        <w:rPr>
          <w:b/>
        </w:rPr>
      </w:pPr>
      <w:r>
        <w:rPr>
          <w:b/>
        </w:rPr>
      </w:r>
      <w:r>
        <w:rPr>
          <w:b/>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 огневым работам относятся: разогрев битума, газо- и электросварочные работы, газо- и электрорезательные работы,</w:t>
      </w:r>
      <w:r>
        <w:rPr>
          <w:rFonts w:ascii="Times New Roman" w:hAnsi="Times New Roman" w:cs="Times New Roman"/>
          <w:sz w:val="28"/>
          <w:szCs w:val="28"/>
        </w:rPr>
        <w:t xml:space="preserve"> бензино- и керосинорезательные работы, работы с паяльной лампой, резка металла механизированным инструментом с образованием искр, а также другие работы с применением открытого огня или нагрева деталей до температуры воспламенения материалов и конструкций.</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К сварочным и другим огневым работам должен допускаться только персонал, прошедший в уст</w:t>
      </w:r>
      <w:r>
        <w:rPr>
          <w:rFonts w:ascii="Times New Roman" w:hAnsi="Times New Roman" w:cs="Times New Roman"/>
          <w:sz w:val="28"/>
          <w:szCs w:val="28"/>
        </w:rPr>
        <w:t xml:space="preserve">ановленном порядке обучение и проверку знаний мер пожарной безопасности при проведении огневых работ, а также действующих правил и других нормативных документов в соответствии с требованиями к профессиональной подготовке персонала, выполняющего эти работы.</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каждом Филиале сварочные и другие огневые работы должны проводиться в соответствии с требованиями действующих нормативных документов.</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Места для производства огневых работ подразделяются на:</w:t>
      </w:r>
      <w:r>
        <w:rPr>
          <w:rFonts w:ascii="Times New Roman" w:hAnsi="Times New Roman" w:cs="Times New Roman"/>
          <w:sz w:val="28"/>
          <w:szCs w:val="28"/>
        </w:rPr>
      </w:r>
    </w:p>
    <w:p>
      <w:pPr>
        <w:pStyle w:val="1142"/>
        <w:numPr>
          <w:ilvl w:val="0"/>
          <w:numId w:val="11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Постоянные места, организуемые в специально отведенных и оборудованных местах в мастерских, на открытых площадках и </w:t>
      </w:r>
      <w:r>
        <w:rPr>
          <w:rFonts w:ascii="Times New Roman" w:hAnsi="Times New Roman" w:cs="Times New Roman"/>
          <w:sz w:val="28"/>
          <w:szCs w:val="28"/>
        </w:rPr>
        <w:t xml:space="preserve">т.п. Запрещается организация постоянных мест проведения огневых работ более чем на 10 постах на одном объекте, если не предусмотрено централизованное электро- и газоснабжение. Требования к порядку проведения огневых работ на постоянных местах содержатся в </w:t>
      </w:r>
      <w:hyperlink w:tooltip="#P1827" w:anchor="P1827" w:history="1">
        <w:r>
          <w:rPr>
            <w:rStyle w:val="1111"/>
            <w:rFonts w:ascii="Times New Roman" w:hAnsi="Times New Roman"/>
            <w:sz w:val="28"/>
            <w:szCs w:val="28"/>
          </w:rPr>
          <w:t xml:space="preserve">Приложени</w:t>
        </w:r>
        <w:bookmarkStart w:id="117" w:name="_Hlt185327970"/>
        <w:bookmarkStart w:id="118" w:name="_Hlt185328026"/>
        <w:r>
          <w:rPr>
            <w:rStyle w:val="1111"/>
            <w:rFonts w:ascii="Times New Roman" w:hAnsi="Times New Roman"/>
            <w:sz w:val="28"/>
            <w:szCs w:val="28"/>
          </w:rPr>
          <w:t xml:space="preserve">и</w:t>
        </w:r>
        <w:bookmarkStart w:id="119" w:name="_Hlt185327893"/>
        <w:bookmarkEnd w:id="117"/>
        <w:bookmarkEnd w:id="118"/>
        <w:r>
          <w:rPr>
            <w:rStyle w:val="1111"/>
            <w:rFonts w:ascii="Times New Roman" w:hAnsi="Times New Roman"/>
            <w:sz w:val="28"/>
            <w:szCs w:val="28"/>
          </w:rPr>
          <w:t xml:space="preserve"> </w:t>
        </w:r>
        <w:bookmarkEnd w:id="119"/>
        <w:r>
          <w:rPr>
            <w:rStyle w:val="1111"/>
            <w:rFonts w:ascii="Times New Roman" w:hAnsi="Times New Roman"/>
            <w:sz w:val="28"/>
            <w:szCs w:val="28"/>
          </w:rPr>
          <w:t xml:space="preserve">Д</w:t>
        </w:r>
      </w:hyperlink>
      <w:r>
        <w:rPr>
          <w:rFonts w:ascii="Times New Roman" w:hAnsi="Times New Roman" w:cs="Times New Roman"/>
          <w:sz w:val="28"/>
          <w:szCs w:val="28"/>
        </w:rPr>
        <w:t xml:space="preserve"> к настоящим указаниям.</w:t>
      </w:r>
      <w:r>
        <w:rPr>
          <w:rFonts w:ascii="Times New Roman" w:hAnsi="Times New Roman" w:cs="Times New Roman"/>
          <w:sz w:val="28"/>
          <w:szCs w:val="28"/>
        </w:rPr>
      </w:r>
    </w:p>
    <w:p>
      <w:pPr>
        <w:pStyle w:val="1142"/>
        <w:numPr>
          <w:ilvl w:val="0"/>
          <w:numId w:val="11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Временные места, организуемые непосредственно на рабочем месте в помещениях и на оборудовании, если по местным условиям нет возможности организовать проведение огневых работ на постоянных местах. </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проведение огневых работ на временных местах должен оформляться наряд-допуск на выполнение огневых работ.</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проведении на временных местах огневых работ в действующих электроустановках должен оформляться наряд-допуск по форме, указанной в ПОТЭЭ, который учитывается в журнале учета работ по нарядам-допускам и распоряжениям для работы в электроустановках.</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проведении на временных местах огневых работ (работ повышенной опасности), не связанных с проведением работ в действующих электроустановках, должен оформляться наряд-допуск по форме </w:t>
      </w:r>
      <w:hyperlink w:tooltip="#_Приложение_Б" w:anchor="_Приложение_Б" w:history="1">
        <w:r>
          <w:rPr>
            <w:rStyle w:val="1111"/>
            <w:rFonts w:ascii="Times New Roman" w:hAnsi="Times New Roman"/>
            <w:sz w:val="28"/>
            <w:szCs w:val="28"/>
          </w:rPr>
          <w:t xml:space="preserve">При</w:t>
        </w:r>
        <w:bookmarkStart w:id="120" w:name="_Hlt184371276"/>
        <w:bookmarkStart w:id="121" w:name="_Hlt184371277"/>
        <w:r>
          <w:rPr>
            <w:rStyle w:val="1111"/>
            <w:rFonts w:ascii="Times New Roman" w:hAnsi="Times New Roman"/>
            <w:sz w:val="28"/>
            <w:szCs w:val="28"/>
          </w:rPr>
          <w:t xml:space="preserve">л</w:t>
        </w:r>
        <w:bookmarkEnd w:id="120"/>
        <w:bookmarkEnd w:id="121"/>
        <w:r>
          <w:rPr>
            <w:rStyle w:val="1111"/>
            <w:rFonts w:ascii="Times New Roman" w:hAnsi="Times New Roman"/>
            <w:sz w:val="28"/>
            <w:szCs w:val="28"/>
          </w:rPr>
          <w:t xml:space="preserve">ожения Б</w:t>
        </w:r>
      </w:hyperlink>
      <w:r>
        <w:rPr>
          <w:rFonts w:ascii="Times New Roman" w:hAnsi="Times New Roman" w:cs="Times New Roman"/>
          <w:sz w:val="28"/>
          <w:szCs w:val="28"/>
        </w:rPr>
        <w:t xml:space="preserve"> к настоящим указаниям, который учитывается в журнале учета выдачи нарядов-допусков на выполнение огневых работ. Наряд-допуск выдается руководителю работ и утверждается должностным лицом, уполномоченным руководителем организации.</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авариях вр</w:t>
      </w:r>
      <w:r>
        <w:rPr>
          <w:rFonts w:ascii="Times New Roman" w:hAnsi="Times New Roman" w:cs="Times New Roman"/>
          <w:sz w:val="28"/>
          <w:szCs w:val="28"/>
        </w:rPr>
        <w:t xml:space="preserve">еменные сварочные и другие огневые работы должны проводиться под непосредственным наблюдением административно-технического персонала, ответственного за безопасную эксплуатацию объекта, или по его указанию другого лица из числа административно-технического </w:t>
      </w:r>
      <w:r>
        <w:rPr>
          <w:rFonts w:ascii="Times New Roman" w:hAnsi="Times New Roman" w:cs="Times New Roman"/>
          <w:sz w:val="28"/>
          <w:szCs w:val="28"/>
        </w:rPr>
        <w:t xml:space="preserve">или оперативного персонала. Оформление наряда-допуска в этом случае не требуется, но должны выполняться все противопожарные мероприятия для исключения пожара и должен проводиться надзор со стороны ответственного лица.</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Допуск подрядных организаций для производства огневых и сварочных работ должен осуществляться в соответствии с требованиями ПОТЭЭ и </w:t>
      </w:r>
      <w:hyperlink r:id="rId42" w:tooltip="&quot;О принятии строительных норм и правил Российской Федерации &quot;Безопасность труда в ...&quot;Постановление Госстроя России от 23.07.2001 N 80Строительные нормы и правила Российской Федерации от ...Статус: Действующий документ (действ. c 01.09.2001)" w:history="1">
        <w:r>
          <w:rPr>
            <w:rStyle w:val="1111"/>
            <w:rFonts w:ascii="Times New Roman" w:hAnsi="Times New Roman"/>
            <w:color w:val="0000aa"/>
            <w:sz w:val="28"/>
            <w:szCs w:val="28"/>
          </w:rPr>
          <w:t xml:space="preserve">СНиП 12-03-2001</w:t>
        </w:r>
      </w:hyperlink>
      <w:r>
        <w:rPr>
          <w:rFonts w:ascii="Times New Roman" w:hAnsi="Times New Roman" w:cs="Times New Roman"/>
          <w:sz w:val="28"/>
          <w:szCs w:val="28"/>
        </w:rPr>
        <w:t xml:space="preserve"> (</w:t>
      </w:r>
      <w:hyperlink r:id="rId43" w:tooltip="&quot;О принятии строительных норм и правил Российской Федерации &quot;Безопасность труда в ...&quot;Постановление Госстроя России от 23.07.2001 N 80Строительные нормы и правила Российской Федерации от ...Статус: Действующий документ (действ. c 01.09.2001)" w:history="1">
        <w:r>
          <w:rPr>
            <w:rStyle w:val="1111"/>
            <w:rFonts w:ascii="Times New Roman" w:hAnsi="Times New Roman"/>
            <w:color w:val="0000aa"/>
            <w:sz w:val="28"/>
            <w:szCs w:val="28"/>
          </w:rPr>
          <w:t xml:space="preserve">СП 49.13330.2010</w:t>
        </w:r>
      </w:hyperlink>
      <w:r>
        <w:rPr>
          <w:rFonts w:ascii="Times New Roman" w:hAnsi="Times New Roman" w:cs="Times New Roman"/>
          <w:sz w:val="28"/>
          <w:szCs w:val="28"/>
        </w:rPr>
        <w:t xml:space="preserve">).</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проведении огневых работ запрещается:</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Приступать к работе, если не выполнены противопожарные мероприятия, не подготовлены средства пожаротушения и не оформлен наряд-допуск на проведение этих работ на временных местах.</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Приступать к работе при неисправной аппаратуре.</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огневые работы на свежеокрашенных горючими красками (лаками) конструкциях.</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Допускать к самостоятельной работе лиц, не имеющих квалификационного удостоверения.</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Использовать рабочую одежду и рукавицы со следами масел, жиров, бензина, керосина, других горючих жидкостей.</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Допускать соприкосновение электрических проводов с баллонами со сжатыми, сжиженными и растворенными газами.</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работы на аппаратах и коммуникациях, заполненных горючими и токсичными веществами, а также находящимися под электрическим напряжением.</w:t>
      </w:r>
      <w:r>
        <w:rPr>
          <w:rFonts w:ascii="Times New Roman" w:hAnsi="Times New Roman" w:cs="Times New Roman"/>
          <w:sz w:val="28"/>
          <w:szCs w:val="28"/>
        </w:rPr>
      </w:r>
    </w:p>
    <w:p>
      <w:pPr>
        <w:pStyle w:val="1142"/>
        <w:numPr>
          <w:ilvl w:val="0"/>
          <w:numId w:val="4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Производить огневые работы одновременно с работами, выполняемыми с применением горючих лаков, клеев, мастик и других горючих материалов.</w:t>
      </w:r>
      <w:r>
        <w:rPr>
          <w:rFonts w:ascii="Times New Roman" w:hAnsi="Times New Roman" w:cs="Times New Roman"/>
          <w:sz w:val="28"/>
          <w:szCs w:val="28"/>
        </w:rPr>
      </w:r>
    </w:p>
    <w:p>
      <w:pPr>
        <w:pStyle w:val="1142"/>
        <w:numPr>
          <w:ilvl w:val="0"/>
          <w:numId w:val="48"/>
        </w:numPr>
        <w:ind w:left="0" w:firstLine="709"/>
        <w:jc w:val="both"/>
        <w:tabs>
          <w:tab w:val="left" w:pos="1843" w:leader="none"/>
        </w:tabs>
        <w:rPr>
          <w:rFonts w:ascii="Times New Roman" w:hAnsi="Times New Roman" w:cs="Times New Roman"/>
          <w:sz w:val="28"/>
          <w:szCs w:val="28"/>
        </w:rPr>
      </w:pPr>
      <w:r>
        <w:rPr>
          <w:rFonts w:ascii="Times New Roman" w:hAnsi="Times New Roman" w:cs="Times New Roman"/>
          <w:sz w:val="28"/>
          <w:szCs w:val="28"/>
        </w:rPr>
        <w:t xml:space="preserve">Проводить огневые работы на элементах зданий, выполненных из легких металлических конструкций с горючими и трудногорючими утеплителями.</w:t>
      </w:r>
      <w:r>
        <w:rPr>
          <w:rFonts w:ascii="Times New Roman" w:hAnsi="Times New Roman" w:cs="Times New Roman"/>
          <w:sz w:val="28"/>
          <w:szCs w:val="28"/>
        </w:rPr>
      </w:r>
    </w:p>
    <w:p>
      <w:pPr>
        <w:pStyle w:val="1142"/>
        <w:numPr>
          <w:ilvl w:val="0"/>
          <w:numId w:val="48"/>
        </w:numPr>
        <w:ind w:left="0" w:firstLine="709"/>
        <w:jc w:val="both"/>
        <w:tabs>
          <w:tab w:val="left" w:pos="1843" w:leader="none"/>
        </w:tabs>
        <w:rPr>
          <w:rFonts w:ascii="Times New Roman" w:hAnsi="Times New Roman" w:cs="Times New Roman"/>
          <w:sz w:val="28"/>
          <w:szCs w:val="28"/>
        </w:rPr>
      </w:pPr>
      <w:r>
        <w:rPr>
          <w:rFonts w:ascii="Times New Roman" w:hAnsi="Times New Roman" w:cs="Times New Roman"/>
          <w:sz w:val="28"/>
          <w:szCs w:val="28"/>
        </w:rPr>
        <w:t xml:space="preserve">Хранить в одном помещении кислородные баллоны и баллоны с горючими газами, а также карбид кальция, краски, масла и жиры.</w:t>
      </w:r>
      <w:r>
        <w:rPr>
          <w:rFonts w:ascii="Times New Roman" w:hAnsi="Times New Roman" w:cs="Times New Roman"/>
          <w:sz w:val="28"/>
          <w:szCs w:val="28"/>
        </w:rPr>
      </w:r>
    </w:p>
    <w:p>
      <w:pPr>
        <w:pStyle w:val="1142"/>
        <w:numPr>
          <w:ilvl w:val="0"/>
          <w:numId w:val="48"/>
        </w:numPr>
        <w:ind w:left="0" w:firstLine="709"/>
        <w:jc w:val="both"/>
        <w:tabs>
          <w:tab w:val="left" w:pos="1843" w:leader="none"/>
        </w:tabs>
        <w:rPr>
          <w:rFonts w:ascii="Times New Roman" w:hAnsi="Times New Roman" w:cs="Times New Roman"/>
          <w:sz w:val="28"/>
          <w:szCs w:val="28"/>
        </w:rPr>
      </w:pPr>
      <w:r>
        <w:rPr>
          <w:rFonts w:ascii="Times New Roman" w:hAnsi="Times New Roman" w:cs="Times New Roman"/>
          <w:sz w:val="28"/>
          <w:szCs w:val="28"/>
        </w:rPr>
        <w:t xml:space="preserve">Использовать в качестве обратного проводника внутренние железнодорожные пути, сети заземления или зануления, а также металлические конструкции зданий, коммуникаций и технологического оборудования.</w:t>
      </w:r>
      <w:r>
        <w:rPr>
          <w:rFonts w:ascii="Times New Roman" w:hAnsi="Times New Roman" w:cs="Times New Roman"/>
          <w:sz w:val="28"/>
          <w:szCs w:val="28"/>
        </w:rPr>
      </w:r>
    </w:p>
    <w:p>
      <w:pPr>
        <w:pStyle w:val="1142"/>
        <w:numPr>
          <w:ilvl w:val="0"/>
          <w:numId w:val="48"/>
        </w:numPr>
        <w:ind w:left="0" w:firstLine="709"/>
        <w:jc w:val="both"/>
        <w:tabs>
          <w:tab w:val="left" w:pos="1843" w:leader="none"/>
        </w:tabs>
        <w:rPr>
          <w:rFonts w:ascii="Times New Roman" w:hAnsi="Times New Roman" w:cs="Times New Roman"/>
          <w:sz w:val="28"/>
          <w:szCs w:val="28"/>
        </w:rPr>
      </w:pPr>
      <w:r>
        <w:rPr>
          <w:rFonts w:ascii="Times New Roman" w:hAnsi="Times New Roman" w:cs="Times New Roman"/>
          <w:sz w:val="28"/>
          <w:szCs w:val="28"/>
        </w:rPr>
        <w:t xml:space="preserve">Использовать провода без изоляции или с поврежденной изоляцией, а также применять нестандартные автоматические выключатели.</w:t>
      </w:r>
      <w:r>
        <w:rPr>
          <w:rFonts w:ascii="Times New Roman" w:hAnsi="Times New Roman" w:cs="Times New Roman"/>
          <w:sz w:val="28"/>
          <w:szCs w:val="28"/>
        </w:rPr>
      </w:r>
    </w:p>
    <w:p>
      <w:pPr>
        <w:pStyle w:val="1142"/>
        <w:numPr>
          <w:ilvl w:val="0"/>
          <w:numId w:val="48"/>
        </w:numPr>
        <w:ind w:left="0" w:firstLine="709"/>
        <w:jc w:val="both"/>
        <w:tabs>
          <w:tab w:val="left" w:pos="1843" w:leader="none"/>
        </w:tabs>
        <w:rPr>
          <w:rFonts w:ascii="Times New Roman" w:hAnsi="Times New Roman" w:cs="Times New Roman"/>
          <w:sz w:val="28"/>
          <w:szCs w:val="28"/>
        </w:rPr>
      </w:pPr>
      <w:r>
        <w:rPr>
          <w:rFonts w:ascii="Times New Roman" w:hAnsi="Times New Roman" w:cs="Times New Roman"/>
          <w:sz w:val="28"/>
          <w:szCs w:val="28"/>
        </w:rPr>
        <w:t xml:space="preserve">Устанавливать газовые баллоны, а также другую аппаратуру для проведения сварки и газорезки непосредственно во взрывоопасных помещениях категории А и Б, емкостях и кабельных сооружениях.</w:t>
      </w:r>
      <w:r>
        <w:rPr>
          <w:rFonts w:ascii="Times New Roman" w:hAnsi="Times New Roman" w:cs="Times New Roman"/>
          <w:sz w:val="28"/>
          <w:szCs w:val="28"/>
        </w:rPr>
      </w:r>
    </w:p>
    <w:p>
      <w:pPr>
        <w:pStyle w:val="1142"/>
        <w:numPr>
          <w:ilvl w:val="0"/>
          <w:numId w:val="48"/>
        </w:numPr>
        <w:ind w:left="0" w:firstLine="709"/>
        <w:jc w:val="both"/>
        <w:tabs>
          <w:tab w:val="left" w:pos="1843" w:leader="none"/>
        </w:tabs>
        <w:rPr>
          <w:rFonts w:ascii="Times New Roman" w:hAnsi="Times New Roman" w:cs="Times New Roman"/>
          <w:sz w:val="28"/>
          <w:szCs w:val="28"/>
        </w:rPr>
      </w:pPr>
      <w:r>
        <w:rPr>
          <w:rFonts w:ascii="Times New Roman" w:hAnsi="Times New Roman" w:cs="Times New Roman"/>
          <w:sz w:val="28"/>
          <w:szCs w:val="28"/>
        </w:rPr>
        <w:t xml:space="preserve">Подвергать газовые баллоны длительному воздействию прямых солнечных лучей, а также нагреву от других излучающих источников тепла.</w:t>
      </w:r>
      <w:r>
        <w:rPr>
          <w:rFonts w:ascii="Times New Roman" w:hAnsi="Times New Roman" w:cs="Times New Roman"/>
          <w:sz w:val="28"/>
          <w:szCs w:val="28"/>
        </w:rPr>
      </w:r>
    </w:p>
    <w:p>
      <w:pPr>
        <w:pStyle w:val="1142"/>
        <w:numPr>
          <w:ilvl w:val="0"/>
          <w:numId w:val="48"/>
        </w:numPr>
        <w:ind w:left="0" w:firstLine="709"/>
        <w:jc w:val="both"/>
        <w:tabs>
          <w:tab w:val="left" w:pos="1843" w:leader="none"/>
        </w:tabs>
        <w:rPr>
          <w:rFonts w:ascii="Times New Roman" w:hAnsi="Times New Roman" w:cs="Times New Roman"/>
          <w:sz w:val="28"/>
          <w:szCs w:val="28"/>
        </w:rPr>
      </w:pPr>
      <w:r>
        <w:rPr>
          <w:rFonts w:ascii="Times New Roman" w:hAnsi="Times New Roman" w:cs="Times New Roman"/>
          <w:sz w:val="28"/>
          <w:szCs w:val="28"/>
        </w:rPr>
        <w:t xml:space="preserve">Использовать открытый огонь для отогревания замерзших </w:t>
      </w:r>
      <w:r>
        <w:rPr>
          <w:rFonts w:ascii="Times New Roman" w:hAnsi="Times New Roman" w:cs="Times New Roman"/>
          <w:sz w:val="28"/>
          <w:szCs w:val="28"/>
        </w:rPr>
        <w:t xml:space="preserve">трубопроводов, емкостей и других подобных устройств внутри зданий и сооружений, а также вне этих зданий и сооружений, расположенных ближе 3 м от сгораемых конструкций или пожароопасного оборудования.</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После окончания рабочей смены все газовые баллоны, аппараты пайки и резки с применением горючих жидкостей следует убирать из помещений в</w:t>
      </w:r>
      <w:r>
        <w:rPr>
          <w:rFonts w:ascii="Times New Roman" w:hAnsi="Times New Roman" w:cs="Times New Roman"/>
          <w:sz w:val="28"/>
          <w:szCs w:val="28"/>
        </w:rPr>
        <w:t xml:space="preserve"> места постоянного их хранения, а электросварочные агрегаты отключать от электросети. На период перерывов (на обед и т.п.) баллоны с газами, аппаратуру электросварки, пайки и резки материалов надо отключать, шланги освобождать от горючих жидкостей и газов.</w:t>
      </w:r>
      <w:r>
        <w:rPr>
          <w:rFonts w:ascii="Times New Roman" w:hAnsi="Times New Roman" w:cs="Times New Roman"/>
          <w:sz w:val="28"/>
          <w:szCs w:val="28"/>
        </w:rPr>
      </w:r>
    </w:p>
    <w:p>
      <w:pPr>
        <w:pStyle w:val="1142"/>
        <w:numPr>
          <w:ilvl w:val="2"/>
          <w:numId w:val="3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несоблюдении требований пожарной безопа</w:t>
      </w:r>
      <w:r>
        <w:rPr>
          <w:rFonts w:ascii="Times New Roman" w:hAnsi="Times New Roman" w:cs="Times New Roman"/>
          <w:sz w:val="28"/>
          <w:szCs w:val="28"/>
        </w:rPr>
        <w:t xml:space="preserve">сности при проведении огневых работ наряд-допуск на их выполнение изымается, что означает немедленное и полное прекращение работ. Возобновление этих работ разрешается после устранения допущенных нарушений, а также оформления и выдачи нового наряда-допуска.</w:t>
      </w:r>
      <w:r>
        <w:rPr>
          <w:rFonts w:ascii="Times New Roman" w:hAnsi="Times New Roman" w:cs="Times New Roman"/>
          <w:sz w:val="28"/>
          <w:szCs w:val="28"/>
        </w:rPr>
      </w:r>
    </w:p>
    <w:p>
      <w:pPr>
        <w:pStyle w:val="1142"/>
        <w:ind w:left="851"/>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1180"/>
        <w:numPr>
          <w:ilvl w:val="0"/>
          <w:numId w:val="13"/>
        </w:numPr>
        <w:ind w:left="0" w:firstLine="709"/>
        <w:jc w:val="both"/>
        <w:spacing w:before="0" w:beforeAutospacing="0" w:after="0" w:afterAutospacing="0"/>
        <w:tabs>
          <w:tab w:val="left" w:pos="1418" w:leader="none"/>
        </w:tabs>
        <w:rPr>
          <w:b/>
          <w:sz w:val="32"/>
          <w:szCs w:val="32"/>
        </w:rPr>
        <w:outlineLvl w:val="0"/>
      </w:pPr>
      <w:r/>
      <w:bookmarkStart w:id="122" w:name="ПСП_ПБ_водоснабжение_14"/>
      <w:r/>
      <w:bookmarkStart w:id="123" w:name="_Toc124499121"/>
      <w:r>
        <w:rPr>
          <w:b/>
          <w:sz w:val="32"/>
          <w:szCs w:val="32"/>
        </w:rPr>
        <w:t xml:space="preserve">Первичные средства пожаротушения, противопожарное водоснабжение</w:t>
      </w:r>
      <w:bookmarkEnd w:id="122"/>
      <w:r/>
      <w:bookmarkEnd w:id="123"/>
      <w:r/>
      <w:r>
        <w:rPr>
          <w:b/>
          <w:sz w:val="32"/>
          <w:szCs w:val="32"/>
        </w:rPr>
      </w:r>
    </w:p>
    <w:p>
      <w:pPr>
        <w:pStyle w:val="1180"/>
        <w:ind w:left="709" w:firstLine="709"/>
        <w:jc w:val="both"/>
        <w:spacing w:before="0" w:beforeAutospacing="0" w:after="0" w:afterAutospacing="0"/>
        <w:tabs>
          <w:tab w:val="left" w:pos="0" w:leader="none"/>
        </w:tabs>
        <w:rPr>
          <w:b/>
          <w:sz w:val="28"/>
          <w:szCs w:val="28"/>
        </w:rPr>
      </w:pPr>
      <w:r>
        <w:rPr>
          <w:b/>
          <w:sz w:val="28"/>
          <w:szCs w:val="28"/>
        </w:rPr>
      </w:r>
      <w:r>
        <w:rPr>
          <w:b/>
          <w:sz w:val="28"/>
          <w:szCs w:val="28"/>
        </w:rPr>
      </w:r>
    </w:p>
    <w:p>
      <w:pPr>
        <w:pStyle w:val="1250"/>
        <w:numPr>
          <w:ilvl w:val="1"/>
          <w:numId w:val="13"/>
        </w:numPr>
        <w:ind w:left="0" w:firstLine="709"/>
        <w:spacing w:after="0"/>
        <w:tabs>
          <w:tab w:val="left" w:pos="1418" w:leader="none"/>
        </w:tabs>
        <w:rPr>
          <w:b/>
          <w:sz w:val="28"/>
          <w:szCs w:val="28"/>
        </w:rPr>
        <w:outlineLvl w:val="1"/>
      </w:pPr>
      <w:r/>
      <w:bookmarkStart w:id="124" w:name="Общие_требованияк_ПСП_14_1"/>
      <w:r/>
      <w:bookmarkStart w:id="125" w:name="_Toc112328586"/>
      <w:r/>
      <w:bookmarkStart w:id="126" w:name="_Toc124499122"/>
      <w:r>
        <w:rPr>
          <w:b/>
          <w:sz w:val="28"/>
          <w:szCs w:val="28"/>
        </w:rPr>
        <w:t xml:space="preserve">Общие требования к первичным средствам пожаротушения</w:t>
      </w:r>
      <w:bookmarkEnd w:id="124"/>
      <w:r/>
      <w:bookmarkEnd w:id="125"/>
      <w:r/>
      <w:bookmarkEnd w:id="126"/>
      <w:r/>
      <w:r>
        <w:rPr>
          <w:b/>
          <w:sz w:val="28"/>
          <w:szCs w:val="28"/>
        </w:rPr>
      </w:r>
    </w:p>
    <w:p>
      <w:pPr>
        <w:pStyle w:val="1250"/>
        <w:ind w:left="709" w:firstLine="709"/>
        <w:spacing w:after="0"/>
        <w:tabs>
          <w:tab w:val="left" w:pos="0" w:leader="none"/>
          <w:tab w:val="left" w:pos="1701" w:leader="none"/>
        </w:tabs>
        <w:rPr>
          <w:b/>
        </w:rPr>
      </w:pPr>
      <w:r>
        <w:rPr>
          <w:b/>
        </w:rPr>
      </w:r>
      <w:r>
        <w:rPr>
          <w:b/>
        </w:rPr>
      </w:r>
    </w:p>
    <w:p>
      <w:pPr>
        <w:pStyle w:val="1250"/>
        <w:numPr>
          <w:ilvl w:val="2"/>
          <w:numId w:val="33"/>
        </w:numPr>
        <w:ind w:left="0" w:firstLine="709"/>
        <w:spacing w:after="0"/>
        <w:tabs>
          <w:tab w:val="left" w:pos="1701" w:leader="none"/>
        </w:tabs>
        <w:rPr>
          <w:sz w:val="28"/>
          <w:szCs w:val="28"/>
        </w:rPr>
      </w:pPr>
      <w:r>
        <w:rPr>
          <w:sz w:val="28"/>
          <w:szCs w:val="28"/>
        </w:rPr>
        <w:t xml:space="preserve">Помимо требований настоящего раздела следует руководствоваться технической и эксплуатационной документацией заводов-изготовителей первичных средств пожаротушения и действующими нормативными документами в области пожарной безопасности.</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ОРД руководителя Филиала должны быть назначены лица, ответственные за приобретение, сохранность, контроль состояния и готовность к использованию первичных средств пожаротушения, своевременную перезарядку огнетушителей.</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Здания, сооружения и помещения, а также открытые производственные площадки или участки должны быть обеспечены первичными средствами пожаротушения в соответствии с нормами комплектования.</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К первичным средствам пожаротушения относятся средства пожаротушения, используемые для борьбы с пожаром в начальной стадии его развития:</w:t>
      </w:r>
      <w:r>
        <w:rPr>
          <w:sz w:val="28"/>
          <w:szCs w:val="28"/>
        </w:rPr>
      </w:r>
    </w:p>
    <w:p>
      <w:pPr>
        <w:pStyle w:val="1250"/>
        <w:numPr>
          <w:ilvl w:val="0"/>
          <w:numId w:val="47"/>
        </w:numPr>
        <w:ind w:left="0" w:firstLine="709"/>
        <w:spacing w:after="0"/>
        <w:tabs>
          <w:tab w:val="left" w:pos="993" w:leader="none"/>
          <w:tab w:val="left" w:pos="1701" w:leader="none"/>
        </w:tabs>
        <w:rPr>
          <w:sz w:val="28"/>
          <w:szCs w:val="28"/>
        </w:rPr>
      </w:pPr>
      <w:r>
        <w:rPr>
          <w:sz w:val="28"/>
          <w:szCs w:val="28"/>
        </w:rPr>
        <w:t xml:space="preserve">все виды переносных и передвижных огнетушителей;</w:t>
      </w:r>
      <w:r>
        <w:rPr>
          <w:sz w:val="28"/>
          <w:szCs w:val="28"/>
        </w:rPr>
      </w:r>
    </w:p>
    <w:p>
      <w:pPr>
        <w:pStyle w:val="1250"/>
        <w:numPr>
          <w:ilvl w:val="0"/>
          <w:numId w:val="47"/>
        </w:numPr>
        <w:ind w:left="0" w:firstLine="709"/>
        <w:spacing w:after="0"/>
        <w:tabs>
          <w:tab w:val="left" w:pos="993" w:leader="none"/>
          <w:tab w:val="left" w:pos="1701" w:leader="none"/>
        </w:tabs>
        <w:rPr>
          <w:sz w:val="28"/>
          <w:szCs w:val="28"/>
        </w:rPr>
      </w:pPr>
      <w:r>
        <w:rPr>
          <w:sz w:val="28"/>
          <w:szCs w:val="28"/>
        </w:rPr>
        <w:t xml:space="preserve">пожарные краны и средства обеспечения их использования;</w:t>
      </w:r>
      <w:r>
        <w:rPr>
          <w:sz w:val="28"/>
          <w:szCs w:val="28"/>
        </w:rPr>
      </w:r>
    </w:p>
    <w:p>
      <w:pPr>
        <w:pStyle w:val="1250"/>
        <w:numPr>
          <w:ilvl w:val="0"/>
          <w:numId w:val="47"/>
        </w:numPr>
        <w:ind w:left="0" w:firstLine="709"/>
        <w:spacing w:after="0"/>
        <w:tabs>
          <w:tab w:val="left" w:pos="993" w:leader="none"/>
          <w:tab w:val="left" w:pos="1701" w:leader="none"/>
        </w:tabs>
        <w:rPr>
          <w:sz w:val="28"/>
          <w:szCs w:val="28"/>
        </w:rPr>
      </w:pPr>
      <w:r>
        <w:rPr>
          <w:sz w:val="28"/>
          <w:szCs w:val="28"/>
        </w:rPr>
        <w:t xml:space="preserve">пожарный инвентарь (багры, ломы, лопаты, ведра, ящики для песка и т.п.);</w:t>
      </w:r>
      <w:r>
        <w:rPr>
          <w:sz w:val="28"/>
          <w:szCs w:val="28"/>
        </w:rPr>
      </w:r>
    </w:p>
    <w:p>
      <w:pPr>
        <w:pStyle w:val="1250"/>
        <w:numPr>
          <w:ilvl w:val="0"/>
          <w:numId w:val="47"/>
        </w:numPr>
        <w:ind w:left="0" w:firstLine="709"/>
        <w:spacing w:after="0"/>
        <w:tabs>
          <w:tab w:val="left" w:pos="993" w:leader="none"/>
          <w:tab w:val="left" w:pos="1701" w:leader="none"/>
        </w:tabs>
        <w:rPr>
          <w:sz w:val="28"/>
          <w:szCs w:val="28"/>
        </w:rPr>
      </w:pPr>
      <w:r>
        <w:rPr>
          <w:sz w:val="28"/>
          <w:szCs w:val="28"/>
        </w:rPr>
        <w:t xml:space="preserve">покрывала для изоляции очага возгорания (асбестовое полотно, кошма, войлок и т.п.);</w:t>
      </w:r>
      <w:r>
        <w:rPr>
          <w:sz w:val="28"/>
          <w:szCs w:val="28"/>
        </w:rPr>
      </w:r>
    </w:p>
    <w:p>
      <w:pPr>
        <w:pStyle w:val="1250"/>
        <w:numPr>
          <w:ilvl w:val="0"/>
          <w:numId w:val="47"/>
        </w:numPr>
        <w:ind w:left="0" w:firstLine="709"/>
        <w:spacing w:after="0"/>
        <w:tabs>
          <w:tab w:val="left" w:pos="993" w:leader="none"/>
          <w:tab w:val="left" w:pos="1701" w:leader="none"/>
        </w:tabs>
        <w:rPr>
          <w:sz w:val="28"/>
          <w:szCs w:val="28"/>
        </w:rPr>
      </w:pPr>
      <w:r>
        <w:rPr>
          <w:sz w:val="28"/>
          <w:szCs w:val="28"/>
        </w:rPr>
        <w:t xml:space="preserve">генераторные огнетушители аэрозольные переносные.</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w:t>
      </w:r>
      <w:r>
        <w:rPr>
          <w:sz w:val="28"/>
          <w:szCs w:val="28"/>
        </w:rPr>
        <w:t xml:space="preserve">также площадь производственных помещений, открытых площадок и установок.</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Для каждого объекта руководи</w:t>
      </w:r>
      <w:r>
        <w:rPr>
          <w:sz w:val="28"/>
          <w:szCs w:val="28"/>
        </w:rPr>
        <w:t xml:space="preserve">телем соответствующего структурного подразделения производственного отделения разрабатываются нормы комплектования первичными средствами пожаротушения, которые согласовываются специалистами по пожарной безопасности и утверждаются техническим руководителем.</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Нормы комплектования первичными средствами пожаротушения рассчитываются в соответствии с требованиями Правил противопожарного режима в Российской Федерации.</w:t>
      </w:r>
      <w:r>
        <w:t xml:space="preserve"> </w:t>
      </w:r>
      <w:r>
        <w:rPr>
          <w:sz w:val="28"/>
          <w:szCs w:val="28"/>
        </w:rPr>
        <w:t xml:space="preserve">Выбор типа и расчет необходимого количества огнетушителей на объекте защиты (в помещении) осуществляется в зависимости от огнетушащей способности огнетушителя, категорий помещений по пожарной и взрывопожарной опасности, а также класса пожара.</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Каждый огнетушитель, установленный на объекте защиты,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Огнетушители следует располагать на защищаемом о</w:t>
      </w:r>
      <w:r>
        <w:rPr>
          <w:sz w:val="28"/>
          <w:szCs w:val="28"/>
        </w:rPr>
        <w:t xml:space="preserve">бъекте таким образом, чтобы они были защищены от воздействия прямых солнечных лучей, тепловых потоков, механических воздействий и других неблагоприятных факторов (вибрация, агрессивная среда, повышенная влажность и т. д.). Огнетушители не должны устанавлив</w:t>
      </w:r>
      <w:r>
        <w:rPr>
          <w:sz w:val="28"/>
          <w:szCs w:val="28"/>
        </w:rPr>
        <w:t xml:space="preserve">аться в таких местах, где значения температуры выходят за температурный диапазон, указанный на огнетушителях. Размещать огнетушители рекомендуется вблизи мест наиболее вероятного возникновения пожара, вдоль путей прохода, а также около выхода из помещения.</w:t>
      </w:r>
      <w:r>
        <w:rPr>
          <w:sz w:val="28"/>
          <w:szCs w:val="28"/>
        </w:rPr>
      </w:r>
    </w:p>
    <w:p>
      <w:pPr>
        <w:pStyle w:val="1250"/>
        <w:numPr>
          <w:ilvl w:val="2"/>
          <w:numId w:val="33"/>
        </w:numPr>
        <w:ind w:left="0" w:firstLine="709"/>
        <w:spacing w:after="0"/>
        <w:tabs>
          <w:tab w:val="left" w:pos="1701" w:leader="none"/>
        </w:tabs>
        <w:rPr>
          <w:bCs/>
          <w:sz w:val="28"/>
          <w:szCs w:val="28"/>
        </w:rPr>
      </w:pPr>
      <w:r>
        <w:rPr>
          <w:bCs/>
          <w:sz w:val="28"/>
          <w:szCs w:val="28"/>
        </w:rPr>
        <w:t xml:space="preserve">Огнетушители, размещенные в коридорах, проходах, не должны препятствовать безопасной эвакуации людей, в том числе огнетушители не должны препятствовать полному открыванию дверей. Переносные огнетушители следует располагать на вид</w:t>
      </w:r>
      <w:r>
        <w:rPr>
          <w:bCs/>
          <w:sz w:val="28"/>
          <w:szCs w:val="28"/>
        </w:rPr>
        <w:t xml:space="preserve">ных местах вблизи от выходов из помещений на подвесных кронштейнах на высоте не более 1,5 метра от пола до верха корпуса огнетушителя, в шкафах пожарных кранов в отдельной секции либо на полу в специальных подставках, исключающих падение или опрокидывание.</w:t>
      </w:r>
      <w:r>
        <w:rPr>
          <w:bCs/>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 В кабельных помещениях (этажах, подвалах, тоннелях) располагать первичные средства пожаротушения не рекомендуется. При необходимости их следует устанавливать при входе в эти помещения.</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Первичные средства пожаротушения не предусматриваются в помещениях аккумуляторных и электролизных, а также в газораспределительных пунктах, так как доступ в эти помещения ограничен для персонала.</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Ящики с песком, как правило, устанавливаются в местах, где возможен розлив ЛВЖ или ГЖ (у маслонаполненного оборудования открытой </w:t>
      </w:r>
      <w:r>
        <w:rPr>
          <w:sz w:val="28"/>
          <w:szCs w:val="28"/>
        </w:rPr>
        <w:t xml:space="preserve">установки, мазутных насосных, на эстакадах слива мазута, маслоаппаратных и т.п.).</w:t>
      </w:r>
      <w:r>
        <w:rPr>
          <w:sz w:val="28"/>
          <w:szCs w:val="28"/>
        </w:rPr>
      </w:r>
    </w:p>
    <w:p>
      <w:pPr>
        <w:pStyle w:val="1250"/>
        <w:ind w:firstLine="709"/>
        <w:spacing w:after="0"/>
        <w:tabs>
          <w:tab w:val="left" w:pos="1701" w:leader="none"/>
        </w:tabs>
        <w:rPr>
          <w:sz w:val="28"/>
          <w:szCs w:val="28"/>
        </w:rPr>
      </w:pPr>
      <w:r>
        <w:rPr>
          <w:sz w:val="28"/>
          <w:szCs w:val="28"/>
        </w:rPr>
        <w:t xml:space="preserve">Ящик должен иметь объем 0,5 м</w:t>
      </w:r>
      <w:r>
        <w:rPr>
          <w:sz w:val="28"/>
          <w:szCs w:val="28"/>
          <w:vertAlign w:val="superscript"/>
        </w:rPr>
        <w:t xml:space="preserve">3</w:t>
      </w:r>
      <w:r>
        <w:rPr>
          <w:sz w:val="28"/>
          <w:szCs w:val="28"/>
        </w:rPr>
        <w:t xml:space="preserve">, покрашен в красный цвет, должна присутствовать надпись «Песок» и указан поряд</w:t>
      </w:r>
      <w:r>
        <w:rPr>
          <w:sz w:val="28"/>
          <w:szCs w:val="28"/>
        </w:rPr>
        <w:t xml:space="preserve">ковый номер ящика. Каждый ящик должен быть укомплектован совковой лопатой. Конструкция применяемых ящиков должна обеспечивать удобство извлечения песка и исключать попадание осадков. Песок должен быть постоянно сухим, сыпучим, без комков. Запас песка 0,5 м</w:t>
      </w:r>
      <w:r>
        <w:rPr>
          <w:sz w:val="28"/>
          <w:szCs w:val="28"/>
          <w:vertAlign w:val="superscript"/>
        </w:rPr>
        <w:t xml:space="preserve">3</w:t>
      </w:r>
      <w:r>
        <w:rPr>
          <w:sz w:val="28"/>
          <w:szCs w:val="28"/>
        </w:rPr>
        <w:t xml:space="preserve"> должен предусматриваться на каждые 500 м</w:t>
      </w:r>
      <w:r>
        <w:rPr>
          <w:sz w:val="28"/>
          <w:szCs w:val="28"/>
          <w:vertAlign w:val="superscript"/>
        </w:rPr>
        <w:t xml:space="preserve">2</w:t>
      </w:r>
      <w:r>
        <w:rPr>
          <w:sz w:val="28"/>
          <w:szCs w:val="28"/>
        </w:rPr>
        <w:t xml:space="preserve"> защищаемой площади и пополняться по мере необходимости.</w:t>
      </w:r>
      <w:r>
        <w:rPr>
          <w:b/>
          <w:sz w:val="20"/>
          <w:szCs w:val="20"/>
        </w:rPr>
        <w:t xml:space="preserve"> </w:t>
      </w:r>
      <w:r>
        <w:rPr>
          <w:sz w:val="28"/>
          <w:szCs w:val="28"/>
        </w:rPr>
        <w:t xml:space="preserve">При размещении ящиков с песком вне отапливаемых помещений должны приниматься меры по недопущению затвердевания песка (вследствие замерзания влаги) при отрицательной температуре окружающего воздуха.</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Подстанции без обслуживающего персонала обеспечиваются ящиками с песком у маслонаполненного оборудования открытой установки.</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На каждом из автомобилей оперативно-выездных бригад (ОВБ) должно быть не менее четырех углекислотных и</w:t>
      </w:r>
      <w:r>
        <w:rPr>
          <w:sz w:val="28"/>
          <w:szCs w:val="28"/>
        </w:rPr>
        <w:t xml:space="preserve"> (или) порошковых огнетушителей с массой заряда ОТВ не менее 5 кг каждый, которые должны храниться в устойчивом положении в специальных устройствах (кронштейнах, держателях, нишах, ящиках и т.п.), исключающих возможность их падения при движении автомобиля.</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Необходимость оборудования объекта пожарными щитами, а также тип пожарных щитов и нормы их комплектации немеханизированным инструментом и инвентарем определяются в соответствии с требованиями Правил противопожарного режима в Российской Федерации. </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Пожарные щиты должны быть заводского изготовления, крепление немеханизированного инструмента и инвентаря на щитах должно обеспечивать их быстрое снятие.</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Каждому пожарному щиту, установленному на объекте, должен быть присвоен порядковый номер, который указывается после буквенного индекса «ПЩ № __».</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Проверка первичных средств пожаротушения (ящиков с песком, покрывал для изоляции очага возгорания, пожарного инструмента и инвентаря, в том числе входящего в комплектацию пожарных щитов) персоналом Филиала должна проводиться не реже 1 раза в полугодие.</w:t>
      </w:r>
      <w:r>
        <w:rPr>
          <w:sz w:val="28"/>
          <w:szCs w:val="28"/>
        </w:rPr>
      </w:r>
    </w:p>
    <w:p>
      <w:pPr>
        <w:pStyle w:val="1250"/>
        <w:ind w:firstLine="709"/>
        <w:spacing w:after="0"/>
        <w:tabs>
          <w:tab w:val="left" w:pos="1701" w:leader="none"/>
        </w:tabs>
        <w:rPr>
          <w:sz w:val="28"/>
          <w:szCs w:val="28"/>
        </w:rPr>
      </w:pPr>
      <w:r>
        <w:rPr>
          <w:sz w:val="28"/>
          <w:szCs w:val="28"/>
        </w:rPr>
        <w:t xml:space="preserve">При проверке выполняются следующие мероприятия:</w:t>
      </w:r>
      <w:r>
        <w:rPr>
          <w:sz w:val="28"/>
          <w:szCs w:val="28"/>
        </w:rPr>
      </w:r>
    </w:p>
    <w:p>
      <w:pPr>
        <w:pStyle w:val="1250"/>
        <w:numPr>
          <w:ilvl w:val="0"/>
          <w:numId w:val="119"/>
        </w:numPr>
        <w:ind w:left="0" w:firstLine="709"/>
        <w:spacing w:after="0"/>
        <w:tabs>
          <w:tab w:val="left" w:pos="1134" w:leader="none"/>
        </w:tabs>
        <w:rPr>
          <w:sz w:val="28"/>
          <w:szCs w:val="28"/>
        </w:rPr>
      </w:pPr>
      <w:r>
        <w:rPr>
          <w:sz w:val="28"/>
          <w:szCs w:val="28"/>
        </w:rPr>
        <w:t xml:space="preserve">внешний осмотр места установки и возможность свободного подхода к первичным средствам пожаротушения;</w:t>
      </w:r>
      <w:r>
        <w:rPr>
          <w:sz w:val="28"/>
          <w:szCs w:val="28"/>
        </w:rPr>
      </w:r>
    </w:p>
    <w:p>
      <w:pPr>
        <w:pStyle w:val="1250"/>
        <w:numPr>
          <w:ilvl w:val="0"/>
          <w:numId w:val="119"/>
        </w:numPr>
        <w:ind w:left="0" w:firstLine="709"/>
        <w:spacing w:after="0"/>
        <w:tabs>
          <w:tab w:val="left" w:pos="1134" w:leader="none"/>
        </w:tabs>
        <w:rPr>
          <w:sz w:val="28"/>
          <w:szCs w:val="28"/>
        </w:rPr>
      </w:pPr>
      <w:r>
        <w:rPr>
          <w:sz w:val="28"/>
          <w:szCs w:val="28"/>
        </w:rPr>
        <w:t xml:space="preserve">внешний осмотр первичного средства пожаротушения (отсутствие пыли, грязи, механических повреждений, состояние защитных и  лакокрасочных покрытий, для ящиков с песком – достаточность наполнения, отсутствие комков);</w:t>
      </w:r>
      <w:r>
        <w:rPr>
          <w:sz w:val="28"/>
          <w:szCs w:val="28"/>
        </w:rPr>
      </w:r>
    </w:p>
    <w:p>
      <w:pPr>
        <w:pStyle w:val="1250"/>
        <w:numPr>
          <w:ilvl w:val="0"/>
          <w:numId w:val="119"/>
        </w:numPr>
        <w:ind w:left="0" w:firstLine="709"/>
        <w:spacing w:after="0"/>
        <w:tabs>
          <w:tab w:val="left" w:pos="1134" w:leader="none"/>
        </w:tabs>
        <w:rPr>
          <w:sz w:val="28"/>
          <w:szCs w:val="28"/>
        </w:rPr>
      </w:pPr>
      <w:r>
        <w:rPr>
          <w:sz w:val="28"/>
          <w:szCs w:val="28"/>
        </w:rPr>
        <w:t xml:space="preserve">проверка комплектации первичных средств пожаротушения (наличие совковой лопаты у ящиков с песком, соответствие комплектации пожарного щита его типу).</w:t>
      </w:r>
      <w:r>
        <w:rPr>
          <w:sz w:val="28"/>
          <w:szCs w:val="28"/>
        </w:rPr>
      </w:r>
    </w:p>
    <w:p>
      <w:pPr>
        <w:pStyle w:val="1250"/>
        <w:ind w:firstLine="709"/>
        <w:spacing w:after="0"/>
        <w:tabs>
          <w:tab w:val="left" w:pos="1701" w:leader="none"/>
        </w:tabs>
        <w:rPr>
          <w:sz w:val="28"/>
          <w:szCs w:val="28"/>
        </w:rPr>
      </w:pPr>
      <w:r>
        <w:rPr>
          <w:sz w:val="28"/>
          <w:szCs w:val="28"/>
        </w:rPr>
        <w:t xml:space="preserve">Обнаруженные дефекты и несоответствия устраняются в кратчайшие сроки, при необходимости первичное средство пожаротушения з</w:t>
      </w:r>
      <w:r>
        <w:rPr>
          <w:sz w:val="28"/>
          <w:szCs w:val="28"/>
        </w:rPr>
        <w:t xml:space="preserve">аменяется. После происшедших аварий и пожаров на объекте должна быть проведена внеочередная проверка первичных средств пожаротушения (в случае их применения). Информация о результатах проверки заносится в журнал эксплуатации систем противопожарной защиты (</w:t>
      </w:r>
      <w:hyperlink w:tooltip="#_Приложение_А" w:anchor="_Приложение_А" w:history="1">
        <w:r>
          <w:rPr>
            <w:rStyle w:val="1111"/>
            <w:sz w:val="28"/>
            <w:szCs w:val="28"/>
          </w:rPr>
          <w:t xml:space="preserve">Приложение А</w:t>
        </w:r>
      </w:hyperlink>
      <w:r>
        <w:rPr>
          <w:sz w:val="28"/>
          <w:szCs w:val="28"/>
        </w:rPr>
        <w:t xml:space="preserve"> к настоящим указаниям).</w:t>
      </w:r>
      <w:r>
        <w:rPr>
          <w:sz w:val="28"/>
          <w:szCs w:val="28"/>
        </w:rPr>
      </w:r>
    </w:p>
    <w:p>
      <w:pPr>
        <w:pStyle w:val="1250"/>
        <w:numPr>
          <w:ilvl w:val="2"/>
          <w:numId w:val="33"/>
        </w:numPr>
        <w:ind w:left="0" w:firstLine="709"/>
        <w:spacing w:after="0"/>
        <w:tabs>
          <w:tab w:val="left" w:pos="1701" w:leader="none"/>
        </w:tabs>
        <w:rPr>
          <w:sz w:val="28"/>
          <w:szCs w:val="28"/>
          <w:highlight w:val="white"/>
        </w:rPr>
      </w:pPr>
      <w:r>
        <w:rPr>
          <w:sz w:val="28"/>
          <w:szCs w:val="28"/>
        </w:rPr>
        <w:t xml:space="preserve">Запрещается использовать первичные средства пожар</w:t>
      </w:r>
      <w:r>
        <w:rPr>
          <w:sz w:val="28"/>
          <w:szCs w:val="28"/>
        </w:rPr>
        <w:t xml:space="preserve">отушения, немеханизированный пожарный инструмент и инвентарь для хозяйственных и прочих нужд, не связанных с тушением очагов пожара, за исключением случаев практического обучения персонала и членов добровольных пожарных формирований объекта (при наличии). </w:t>
      </w:r>
      <w:r>
        <w:rPr>
          <w:sz w:val="28"/>
          <w:szCs w:val="28"/>
          <w:highlight w:val="white"/>
        </w:rPr>
        <w:t xml:space="preserve">Для проведения практических занятий по применению огнетушителей рекомендуется использовать огнетушители, у которых наступил срок очередной перезарядки.</w:t>
      </w:r>
      <w:r>
        <w:rPr>
          <w:sz w:val="28"/>
          <w:szCs w:val="28"/>
          <w:highlight w:val="white"/>
        </w:rPr>
      </w:r>
    </w:p>
    <w:p>
      <w:pPr>
        <w:pStyle w:val="1250"/>
        <w:numPr>
          <w:ilvl w:val="2"/>
          <w:numId w:val="33"/>
        </w:numPr>
        <w:ind w:left="0" w:firstLine="709"/>
        <w:spacing w:after="0"/>
        <w:tabs>
          <w:tab w:val="left" w:pos="1701" w:leader="none"/>
        </w:tabs>
        <w:rPr>
          <w:sz w:val="28"/>
          <w:szCs w:val="28"/>
        </w:rPr>
      </w:pPr>
      <w:r>
        <w:rPr>
          <w:sz w:val="28"/>
          <w:szCs w:val="28"/>
        </w:rPr>
        <w:t xml:space="preserve">Огнетушителю, принятому для оснащения объекта защиты, должен присваиваться учетный порядковый номер, и заводиться карточка учета огнетушителя (форма карточки учета огнетушителя приведена в таблице 1).  При принятии огнетушителя необходимо:</w:t>
      </w:r>
      <w:r>
        <w:rPr>
          <w:sz w:val="28"/>
          <w:szCs w:val="28"/>
        </w:rPr>
      </w:r>
    </w:p>
    <w:p>
      <w:pPr>
        <w:pStyle w:val="1250"/>
        <w:ind w:firstLine="709"/>
        <w:spacing w:after="0"/>
        <w:tabs>
          <w:tab w:val="left" w:pos="1701" w:leader="none"/>
        </w:tabs>
      </w:pPr>
      <w:r>
        <w:rPr>
          <w:sz w:val="28"/>
          <w:szCs w:val="28"/>
        </w:rPr>
        <w:t xml:space="preserve">-  внести соответствующую отметку в карточку учета огнетушителя;</w:t>
      </w:r>
      <w:r/>
    </w:p>
    <w:p>
      <w:pPr>
        <w:pStyle w:val="1250"/>
        <w:ind w:firstLine="709"/>
        <w:spacing w:after="0"/>
        <w:tabs>
          <w:tab w:val="left" w:pos="1701" w:leader="none"/>
        </w:tabs>
      </w:pPr>
      <w:r>
        <w:rPr>
          <w:sz w:val="28"/>
          <w:szCs w:val="28"/>
        </w:rPr>
        <w:t xml:space="preserve">- оформить в установленном порядке акт постановки огнетушителя на оснащение объекта;</w:t>
      </w:r>
      <w:r/>
    </w:p>
    <w:p>
      <w:pPr>
        <w:pStyle w:val="1250"/>
        <w:ind w:firstLine="0"/>
        <w:spacing w:after="0"/>
        <w:tabs>
          <w:tab w:val="left" w:pos="1701" w:leader="none"/>
        </w:tabs>
        <w:rPr>
          <w:sz w:val="28"/>
          <w:szCs w:val="28"/>
        </w:rPr>
      </w:pPr>
      <w:r>
        <w:rPr>
          <w:sz w:val="28"/>
          <w:szCs w:val="28"/>
        </w:rPr>
        <w:t xml:space="preserve">          - сделать запись о вводе в эксплуатацию огнетушителя в Журнале эксплуатации систем противопожарной защиты объекта (</w:t>
      </w:r>
      <w:hyperlink w:tooltip="#_Приложение_А" w:anchor="_Приложение_А" w:history="1">
        <w:r>
          <w:rPr>
            <w:rStyle w:val="1111"/>
            <w:sz w:val="28"/>
            <w:szCs w:val="28"/>
          </w:rPr>
          <w:t xml:space="preserve">Приложение А</w:t>
        </w:r>
      </w:hyperlink>
      <w:r>
        <w:rPr>
          <w:sz w:val="28"/>
          <w:szCs w:val="28"/>
        </w:rPr>
        <w:t xml:space="preserve"> к настоящим указаниям).</w:t>
      </w:r>
      <w:r>
        <w:rPr>
          <w:sz w:val="28"/>
          <w:szCs w:val="28"/>
        </w:rPr>
      </w:r>
    </w:p>
    <w:p>
      <w:pPr>
        <w:pStyle w:val="1250"/>
        <w:ind w:left="810" w:firstLine="0"/>
        <w:spacing w:after="0"/>
        <w:tabs>
          <w:tab w:val="left" w:pos="1701" w:leader="none"/>
        </w:tabs>
        <w:rPr>
          <w:sz w:val="28"/>
          <w:szCs w:val="28"/>
        </w:rPr>
      </w:pPr>
      <w:r>
        <w:rPr>
          <w:sz w:val="28"/>
          <w:szCs w:val="28"/>
        </w:rPr>
      </w:r>
      <w:r>
        <w:rPr>
          <w:sz w:val="28"/>
          <w:szCs w:val="28"/>
        </w:rPr>
      </w:r>
    </w:p>
    <w:p>
      <w:pPr>
        <w:pStyle w:val="1194"/>
        <w:jc w:val="right"/>
        <w:rPr>
          <w:rFonts w:ascii="Times New Roman" w:hAnsi="Times New Roman" w:cs="Times New Roman"/>
          <w:sz w:val="28"/>
          <w:szCs w:val="28"/>
        </w:rPr>
      </w:pPr>
      <w:r>
        <w:rPr>
          <w:rFonts w:ascii="Times New Roman" w:hAnsi="Times New Roman" w:cs="Times New Roman"/>
          <w:sz w:val="28"/>
          <w:szCs w:val="28"/>
        </w:rPr>
        <w:t xml:space="preserve">Таблица 1.</w:t>
      </w:r>
      <w:r>
        <w:rPr>
          <w:rFonts w:ascii="Times New Roman" w:hAnsi="Times New Roman" w:cs="Times New Roman"/>
          <w:sz w:val="28"/>
          <w:szCs w:val="28"/>
        </w:rPr>
      </w:r>
    </w:p>
    <w:p>
      <w:pPr>
        <w:pStyle w:val="1194"/>
        <w:jc w:val="center"/>
        <w:rPr>
          <w:rFonts w:ascii="Times New Roman" w:hAnsi="Times New Roman" w:cs="Times New Roman"/>
          <w:sz w:val="28"/>
          <w:szCs w:val="28"/>
        </w:rPr>
      </w:pPr>
      <w:r>
        <w:rPr>
          <w:rFonts w:ascii="Times New Roman" w:hAnsi="Times New Roman" w:cs="Times New Roman"/>
          <w:sz w:val="28"/>
          <w:szCs w:val="28"/>
        </w:rPr>
        <w:t xml:space="preserve">Форма карточки учета огнетушителя</w:t>
      </w:r>
      <w:r>
        <w:rPr>
          <w:rFonts w:ascii="Times New Roman" w:hAnsi="Times New Roman" w:cs="Times New Roman"/>
          <w:sz w:val="28"/>
          <w:szCs w:val="28"/>
        </w:rPr>
      </w:r>
    </w:p>
    <w:p>
      <w:pPr>
        <w:pStyle w:val="1194"/>
        <w:jc w:val="both"/>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6723"/>
        <w:gridCol w:w="2835"/>
      </w:tblGrid>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1. Номер, присвоенный огнетушителю</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2. Дата размещения огнетушителя на объекте защиты</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3. Место установки огнетушителя</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4. Тип и марка огнетушителя</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5. Завод - изготовитель огнетушителя</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6. Заводской номер</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7. Дата изготовления огнетушителя</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8. Дата очередной перезарядки огнетушителя</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9. Срок службы огнетушителя</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r>
        <w:tblPrEx/>
        <w:trPr/>
        <w:tc>
          <w:tcPr>
            <w:tcW w:w="6723" w:type="dxa"/>
            <w:textDirection w:val="lrTb"/>
            <w:noWrap w:val="false"/>
          </w:tcPr>
          <w:p>
            <w:pPr>
              <w:pStyle w:val="1194"/>
              <w:ind w:firstLine="0"/>
              <w:rPr>
                <w:rFonts w:ascii="Times New Roman" w:hAnsi="Times New Roman" w:cs="Times New Roman"/>
                <w:sz w:val="28"/>
                <w:szCs w:val="28"/>
              </w:rPr>
            </w:pPr>
            <w:r>
              <w:rPr>
                <w:rFonts w:ascii="Times New Roman" w:hAnsi="Times New Roman" w:cs="Times New Roman"/>
                <w:sz w:val="28"/>
                <w:szCs w:val="28"/>
              </w:rPr>
              <w:t xml:space="preserve"> 10. Ответственное лицо и его подпись</w:t>
            </w:r>
            <w:r>
              <w:rPr>
                <w:rFonts w:ascii="Times New Roman" w:hAnsi="Times New Roman" w:cs="Times New Roman"/>
                <w:sz w:val="28"/>
                <w:szCs w:val="28"/>
              </w:rPr>
            </w:r>
          </w:p>
        </w:tc>
        <w:tc>
          <w:tcPr>
            <w:tcW w:w="2835" w:type="dxa"/>
            <w:textDirection w:val="lrTb"/>
            <w:noWrap w:val="false"/>
          </w:tcPr>
          <w:p>
            <w:pPr>
              <w:pStyle w:val="1194"/>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tc>
      </w:tr>
    </w:tbl>
    <w:p>
      <w:pPr>
        <w:pStyle w:val="1250"/>
        <w:ind w:firstLine="0"/>
        <w:spacing w:after="0"/>
        <w:tabs>
          <w:tab w:val="left" w:pos="1701" w:leader="none"/>
        </w:tabs>
        <w:rPr>
          <w:sz w:val="28"/>
          <w:szCs w:val="28"/>
        </w:rPr>
      </w:pPr>
      <w:r>
        <w:rPr>
          <w:sz w:val="28"/>
          <w:szCs w:val="28"/>
        </w:rPr>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Огнетушители, введенные в эксплуатацию, должны подвергаться техническому обслуживанию, которое </w:t>
      </w:r>
      <w:r>
        <w:rPr>
          <w:sz w:val="28"/>
          <w:szCs w:val="28"/>
        </w:rPr>
        <w:t xml:space="preserve">обеспечивает поддержание огнетушителей в постоянной готовности к использованию и надежную работу всех узлов огнетушителя в течение всего срока эксплуатации. Техническое обслуживание включает в себя ежегодную проверку, испытания и перезарядку огнетушителей.</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Техническое обслуживание огнетушителей должно осуществляться юридическими лицами или индивидуальными предпринимателями, имеющими лицензию МЧС России на проведение данного вида работ в соответствии с действующим законодательством.</w:t>
      </w:r>
      <w:r>
        <w:rPr>
          <w:sz w:val="28"/>
          <w:szCs w:val="28"/>
        </w:rPr>
      </w:r>
    </w:p>
    <w:p>
      <w:pPr>
        <w:pStyle w:val="1250"/>
        <w:numPr>
          <w:ilvl w:val="2"/>
          <w:numId w:val="33"/>
        </w:numPr>
        <w:ind w:left="0" w:firstLine="709"/>
        <w:spacing w:after="0"/>
        <w:tabs>
          <w:tab w:val="left" w:pos="1701" w:leader="none"/>
        </w:tabs>
      </w:pPr>
      <w:r>
        <w:rPr>
          <w:sz w:val="28"/>
          <w:szCs w:val="28"/>
        </w:rPr>
        <w:t xml:space="preserve">Ежегодная проверка огнетушителей включает в себя:</w:t>
      </w:r>
      <w:r/>
    </w:p>
    <w:p>
      <w:pPr>
        <w:pStyle w:val="1250"/>
        <w:ind w:firstLine="709"/>
        <w:spacing w:after="0"/>
        <w:tabs>
          <w:tab w:val="left" w:pos="1701" w:leader="none"/>
        </w:tabs>
      </w:pPr>
      <w:r>
        <w:rPr>
          <w:sz w:val="28"/>
          <w:szCs w:val="28"/>
        </w:rPr>
        <w:t xml:space="preserve">- технический осмотр огнетушителей, в ходе проведения которого контролируют: отсутствие вмятин, сколов, глубоких царапин на корпусе, узлах управления,</w:t>
      </w:r>
      <w:r>
        <w:rPr>
          <w:sz w:val="28"/>
          <w:szCs w:val="28"/>
        </w:rPr>
        <w:t xml:space="preserve"> гайках и головке огнетушителя; состояние защитных и лакокрасочных покрытий; наличие четкой и понятной инструкции; состояние предохранительного устройства; целостность манометра или индикатора давления (если он предусмотрен конструкцией огнетушителя), нали</w:t>
      </w:r>
      <w:r>
        <w:rPr>
          <w:sz w:val="28"/>
          <w:szCs w:val="28"/>
        </w:rPr>
        <w:t xml:space="preserve">чие необходимого клейма и величину давления в огнетушителе закачного типа или в газовом баллоне; массу огнетушителя; состояние гибкого шланга (при его наличии) и насадка огнетушителя (на отсутствие механических повреждений, следов коррозии, литейного облоя</w:t>
      </w:r>
      <w:r>
        <w:rPr>
          <w:sz w:val="28"/>
          <w:szCs w:val="28"/>
        </w:rPr>
        <w:t xml:space="preserve"> или посторонних предметов, препятствующих свободному выходу ОТВ из огнетушителя);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r/>
    </w:p>
    <w:p>
      <w:pPr>
        <w:pStyle w:val="1250"/>
        <w:ind w:firstLine="709"/>
        <w:spacing w:after="0"/>
        <w:tabs>
          <w:tab w:val="left" w:pos="1701" w:leader="none"/>
        </w:tabs>
      </w:pPr>
      <w:r>
        <w:rPr>
          <w:sz w:val="28"/>
          <w:szCs w:val="28"/>
        </w:rPr>
        <w:t xml:space="preserve">- визуальный осмотр с целью выявления утечки вытесняющего газа;</w:t>
      </w:r>
      <w:r/>
    </w:p>
    <w:p>
      <w:pPr>
        <w:pStyle w:val="1250"/>
        <w:ind w:firstLine="709"/>
        <w:spacing w:after="0"/>
        <w:tabs>
          <w:tab w:val="left" w:pos="1701" w:leader="none"/>
        </w:tabs>
      </w:pPr>
      <w:r>
        <w:rPr>
          <w:sz w:val="28"/>
          <w:szCs w:val="28"/>
        </w:rPr>
        <w:t xml:space="preserve">- вскрытие поро</w:t>
      </w:r>
      <w:r>
        <w:rPr>
          <w:sz w:val="28"/>
          <w:szCs w:val="28"/>
        </w:rPr>
        <w:t xml:space="preserve">шковых огнетушителей для оценки состояния фильтров, проверки основных эксплуатационных параметров огнетушащего порошка (внешний вид, наличие комков или посторонних предметов, сыпучесть при пересыпании рукой, возможность разрушения небольших комков до пылев</w:t>
      </w:r>
      <w:r>
        <w:rPr>
          <w:sz w:val="28"/>
          <w:szCs w:val="28"/>
        </w:rPr>
        <w:t xml:space="preserve">идного состояния при их падении с высоты 20 см, содержание влаги и дисперсность). В случае если хотя бы по одному из параметров порошок не удовлетворяет требованиям нормативной и технической документации, все огнетушители данной марки подлежат перезарядке.</w:t>
      </w:r>
      <w:r/>
    </w:p>
    <w:p>
      <w:pPr>
        <w:pStyle w:val="1250"/>
        <w:numPr>
          <w:ilvl w:val="2"/>
          <w:numId w:val="33"/>
        </w:numPr>
        <w:ind w:left="0" w:firstLine="709"/>
        <w:spacing w:after="0"/>
        <w:tabs>
          <w:tab w:val="left" w:pos="1701" w:leader="none"/>
        </w:tabs>
        <w:rPr>
          <w:sz w:val="28"/>
          <w:szCs w:val="28"/>
        </w:rPr>
      </w:pPr>
      <w:r>
        <w:rPr>
          <w:sz w:val="28"/>
          <w:szCs w:val="28"/>
        </w:rPr>
        <w:t xml:space="preserve">На объектах защиты, оснащенных пятью и более порошковыми огнетушителями, ежегодной проверке подвергается не менее 3% от общего количества огнетушителей.</w:t>
      </w:r>
      <w:r>
        <w:rPr>
          <w:sz w:val="28"/>
          <w:szCs w:val="28"/>
        </w:rPr>
      </w:r>
    </w:p>
    <w:p>
      <w:pPr>
        <w:pStyle w:val="1250"/>
        <w:numPr>
          <w:ilvl w:val="2"/>
          <w:numId w:val="33"/>
        </w:numPr>
        <w:ind w:left="0" w:firstLine="709"/>
        <w:spacing w:after="0"/>
        <w:tabs>
          <w:tab w:val="left" w:pos="1701" w:leader="none"/>
        </w:tabs>
      </w:pPr>
      <w:r>
        <w:rPr>
          <w:sz w:val="28"/>
          <w:szCs w:val="28"/>
        </w:rPr>
        <w:t xml:space="preserve">При повышенной пожарной опасности объекта (помещения категории А) или при постоянном воздействии на огнетушители таких неблагоприятных факторов, как близкая к предельному значению (по ТД на огн</w:t>
      </w:r>
      <w:r>
        <w:rPr>
          <w:sz w:val="28"/>
          <w:szCs w:val="28"/>
        </w:rPr>
        <w:t xml:space="preserve">етушитель) положительная или отрицательная температура окружающей среды, влажность воздуха более 90% (при 25 °C), коррозионно-активная среда, воздействие вибрации и т.д., проверка огнетушителей и контроль ОТВ должны проводиться не реже одного раза в 6 мес.</w:t>
      </w:r>
      <w:r/>
    </w:p>
    <w:p>
      <w:pPr>
        <w:pStyle w:val="1250"/>
        <w:numPr>
          <w:ilvl w:val="2"/>
          <w:numId w:val="33"/>
        </w:numPr>
        <w:ind w:left="0" w:firstLine="709"/>
        <w:spacing w:after="0"/>
        <w:tabs>
          <w:tab w:val="left" w:pos="1701" w:leader="none"/>
        </w:tabs>
      </w:pPr>
      <w:r>
        <w:rPr>
          <w:sz w:val="28"/>
          <w:szCs w:val="28"/>
        </w:rPr>
        <w:t xml:space="preserve">Действия по оценке состояния огн</w:t>
      </w:r>
      <w:r>
        <w:rPr>
          <w:sz w:val="28"/>
          <w:szCs w:val="28"/>
        </w:rPr>
        <w:t xml:space="preserve">етушителей, не входящие в техническое обслуживание, но установленные изготовителем в технической документации на огнетушитель, должны выполняться  работниками Филиала с периодичностью и в объеме, указанными в этой технической документации. Техническая доку</w:t>
      </w:r>
      <w:r>
        <w:rPr>
          <w:sz w:val="28"/>
          <w:szCs w:val="28"/>
        </w:rPr>
        <w:t xml:space="preserve">ментация на огнетушители (паспорта, руководства по эксплуатации) должна храниться у лица, ответственного за приобретение, сохранность, контроль состояния и готовность к использованию первичных средств пожаротушения, своевременную перезарядку огнетушителей.</w:t>
      </w:r>
      <w:r/>
    </w:p>
    <w:p>
      <w:pPr>
        <w:pStyle w:val="1250"/>
        <w:numPr>
          <w:ilvl w:val="2"/>
          <w:numId w:val="33"/>
        </w:numPr>
        <w:ind w:left="0" w:firstLine="709"/>
        <w:spacing w:after="0"/>
        <w:tabs>
          <w:tab w:val="left" w:pos="1701" w:leader="none"/>
        </w:tabs>
        <w:rPr>
          <w:sz w:val="28"/>
          <w:szCs w:val="28"/>
        </w:rPr>
      </w:pPr>
      <w:r>
        <w:rPr>
          <w:sz w:val="28"/>
          <w:szCs w:val="28"/>
        </w:rPr>
        <w:t xml:space="preserve">Все огнетушители должны перезаряжаться сразу после</w:t>
      </w:r>
      <w:r>
        <w:rPr>
          <w:sz w:val="28"/>
          <w:szCs w:val="28"/>
        </w:rPr>
        <w:t xml:space="preserve"> применения или при обнаружении несоответствия какого-либо параметра огнетушителя требованиям нормативных документов. Также необходимо выполнять перезарядку огнетушителей с периодичностью, указанной изготовителем в технической документации на огнетушитель.</w:t>
      </w:r>
      <w:r>
        <w:rPr>
          <w:sz w:val="28"/>
          <w:szCs w:val="28"/>
        </w:rPr>
      </w:r>
    </w:p>
    <w:p>
      <w:pPr>
        <w:pStyle w:val="1250"/>
        <w:numPr>
          <w:ilvl w:val="2"/>
          <w:numId w:val="33"/>
        </w:numPr>
        <w:ind w:left="0" w:firstLine="709"/>
        <w:spacing w:after="0"/>
        <w:tabs>
          <w:tab w:val="left" w:pos="1701" w:leader="none"/>
        </w:tabs>
        <w:rPr>
          <w:sz w:val="28"/>
          <w:szCs w:val="28"/>
        </w:rPr>
      </w:pPr>
      <w:r>
        <w:rPr>
          <w:sz w:val="28"/>
          <w:szCs w:val="28"/>
        </w:rPr>
        <w:t xml:space="preserve"> Каждый огн</w:t>
      </w:r>
      <w:r>
        <w:rPr>
          <w:sz w:val="28"/>
          <w:szCs w:val="28"/>
        </w:rPr>
        <w:t xml:space="preserve">етушитель, отправленный с объекта защиты на перезарядку или другое техническое обслуживание, должен быть заменен резервным заряженным огнетушителем, соответствующим минимальному рангу тушения модельного очага пожара огнетушителя, изъятого с объекта защиты.</w:t>
      </w:r>
      <w:r>
        <w:rPr>
          <w:sz w:val="28"/>
          <w:szCs w:val="28"/>
        </w:rPr>
      </w:r>
    </w:p>
    <w:p>
      <w:pPr>
        <w:pStyle w:val="1250"/>
        <w:numPr>
          <w:ilvl w:val="2"/>
          <w:numId w:val="33"/>
        </w:numPr>
        <w:ind w:left="0" w:firstLine="709"/>
        <w:spacing w:after="0"/>
        <w:tabs>
          <w:tab w:val="left" w:pos="1701" w:leader="none"/>
        </w:tabs>
      </w:pPr>
      <w:r>
        <w:rPr>
          <w:sz w:val="28"/>
          <w:szCs w:val="28"/>
        </w:rPr>
        <w:t xml:space="preserve">Учет наличия, сроков и результатов проведения технического обслуживания огнетушителей ведется в журнале эксплуатации систем противопожарной защиты (</w:t>
      </w:r>
      <w:hyperlink w:tooltip="#_Приложение_А" w:anchor="_Приложение_А" w:history="1">
        <w:r>
          <w:rPr>
            <w:rStyle w:val="1111"/>
            <w:sz w:val="28"/>
            <w:szCs w:val="28"/>
          </w:rPr>
          <w:t xml:space="preserve">Приложение А</w:t>
        </w:r>
      </w:hyperlink>
      <w:r>
        <w:rPr>
          <w:sz w:val="28"/>
          <w:szCs w:val="28"/>
        </w:rPr>
        <w:t xml:space="preserve"> к настоящим указаниям) и в карточках учета огнетушителей.</w:t>
      </w:r>
      <w:r/>
    </w:p>
    <w:p>
      <w:pPr>
        <w:pStyle w:val="1250"/>
        <w:ind w:firstLine="0"/>
        <w:spacing w:after="0"/>
        <w:tabs>
          <w:tab w:val="left" w:pos="0" w:leader="none"/>
        </w:tabs>
        <w:rPr>
          <w:b/>
          <w:sz w:val="28"/>
          <w:szCs w:val="28"/>
        </w:rPr>
      </w:pPr>
      <w:r>
        <w:rPr>
          <w:b/>
          <w:sz w:val="28"/>
          <w:szCs w:val="28"/>
        </w:rPr>
      </w:r>
      <w:r>
        <w:rPr>
          <w:b/>
          <w:sz w:val="28"/>
          <w:szCs w:val="28"/>
        </w:rPr>
      </w:r>
    </w:p>
    <w:p>
      <w:pPr>
        <w:pStyle w:val="1250"/>
        <w:numPr>
          <w:ilvl w:val="1"/>
          <w:numId w:val="13"/>
        </w:numPr>
        <w:ind w:left="0" w:firstLine="709"/>
        <w:spacing w:after="0"/>
        <w:tabs>
          <w:tab w:val="left" w:pos="0" w:leader="none"/>
          <w:tab w:val="left" w:pos="1418" w:leader="none"/>
        </w:tabs>
        <w:rPr>
          <w:b/>
          <w:sz w:val="28"/>
          <w:szCs w:val="28"/>
        </w:rPr>
        <w:outlineLvl w:val="1"/>
      </w:pPr>
      <w:r/>
      <w:bookmarkStart w:id="127" w:name="Общие_требования_к_ПБ_водоснабжению_14_2"/>
      <w:r/>
      <w:bookmarkStart w:id="128" w:name="_Toc112328587"/>
      <w:r/>
      <w:bookmarkStart w:id="129" w:name="_Toc124499123"/>
      <w:r>
        <w:rPr>
          <w:b/>
          <w:sz w:val="28"/>
          <w:szCs w:val="28"/>
        </w:rPr>
        <w:t xml:space="preserve">Общие требования к противопожарному водоснабжению</w:t>
      </w:r>
      <w:bookmarkEnd w:id="127"/>
      <w:r/>
      <w:bookmarkEnd w:id="128"/>
      <w:r/>
      <w:bookmarkEnd w:id="129"/>
      <w:r/>
      <w:r>
        <w:rPr>
          <w:b/>
          <w:sz w:val="28"/>
          <w:szCs w:val="28"/>
        </w:rPr>
      </w:r>
    </w:p>
    <w:p>
      <w:pPr>
        <w:contextualSpacing/>
        <w:jc w:val="both"/>
        <w:widowControl w:val="off"/>
        <w:tabs>
          <w:tab w:val="left" w:pos="1418" w:leader="none"/>
        </w:tabs>
        <w:rPr>
          <w:sz w:val="28"/>
          <w:szCs w:val="28"/>
        </w:rPr>
      </w:pPr>
      <w:r>
        <w:rPr>
          <w:sz w:val="28"/>
          <w:szCs w:val="28"/>
        </w:rPr>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Противопожарное водоснабжение относится к одному из основных устройств пожаротушения на объекте и может включать в себя:</w:t>
      </w:r>
      <w:r>
        <w:rPr>
          <w:sz w:val="28"/>
          <w:szCs w:val="28"/>
        </w:rPr>
      </w:r>
    </w:p>
    <w:p>
      <w:pPr>
        <w:pStyle w:val="1250"/>
        <w:numPr>
          <w:ilvl w:val="0"/>
          <w:numId w:val="49"/>
        </w:numPr>
        <w:ind w:left="0" w:firstLine="709"/>
        <w:spacing w:after="0"/>
        <w:tabs>
          <w:tab w:val="left" w:pos="1701" w:leader="none"/>
        </w:tabs>
        <w:rPr>
          <w:sz w:val="28"/>
          <w:szCs w:val="28"/>
        </w:rPr>
      </w:pPr>
      <w:r>
        <w:rPr>
          <w:sz w:val="28"/>
          <w:szCs w:val="28"/>
        </w:rPr>
        <w:t xml:space="preserve">Сеть наружных трубопроводов с пожарными гидрантами, расположенную на территории объекта и (или) населенного пункта (наружный противопожарный водопровод).</w:t>
      </w:r>
      <w:r>
        <w:rPr>
          <w:sz w:val="28"/>
          <w:szCs w:val="28"/>
        </w:rPr>
      </w:r>
    </w:p>
    <w:p>
      <w:pPr>
        <w:pStyle w:val="1250"/>
        <w:numPr>
          <w:ilvl w:val="0"/>
          <w:numId w:val="49"/>
        </w:numPr>
        <w:ind w:left="0" w:firstLine="709"/>
        <w:spacing w:after="0"/>
        <w:tabs>
          <w:tab w:val="left" w:pos="1701" w:leader="none"/>
        </w:tabs>
        <w:rPr>
          <w:sz w:val="28"/>
          <w:szCs w:val="28"/>
        </w:rPr>
      </w:pPr>
      <w:r>
        <w:rPr>
          <w:sz w:val="28"/>
          <w:szCs w:val="28"/>
        </w:rPr>
        <w:t xml:space="preserve">Сеть внутренних трубопроводов с пожарными кранами, расположенную в зданиях и сооружениях объекта (внутренний противопожарный водопровод).</w:t>
      </w:r>
      <w:r>
        <w:rPr>
          <w:sz w:val="28"/>
          <w:szCs w:val="28"/>
        </w:rPr>
      </w:r>
    </w:p>
    <w:p>
      <w:pPr>
        <w:pStyle w:val="1250"/>
        <w:numPr>
          <w:ilvl w:val="0"/>
          <w:numId w:val="49"/>
        </w:numPr>
        <w:ind w:left="0" w:firstLine="709"/>
        <w:spacing w:after="0"/>
        <w:tabs>
          <w:tab w:val="left" w:pos="1701" w:leader="none"/>
        </w:tabs>
        <w:rPr>
          <w:sz w:val="28"/>
          <w:szCs w:val="28"/>
        </w:rPr>
      </w:pPr>
      <w:r>
        <w:rPr>
          <w:sz w:val="28"/>
          <w:szCs w:val="28"/>
        </w:rPr>
        <w:t xml:space="preserve">Водоисточники (противопожарные резервуары, реки, озера, пруды и другие водные объекты, используемые для целей пожаротушения).</w:t>
      </w:r>
      <w:r>
        <w:rPr>
          <w:sz w:val="28"/>
          <w:szCs w:val="28"/>
        </w:rPr>
      </w:r>
    </w:p>
    <w:p>
      <w:pPr>
        <w:pStyle w:val="1250"/>
        <w:numPr>
          <w:ilvl w:val="0"/>
          <w:numId w:val="49"/>
        </w:numPr>
        <w:ind w:left="0" w:firstLine="709"/>
        <w:spacing w:after="0"/>
        <w:tabs>
          <w:tab w:val="left" w:pos="1701" w:leader="none"/>
        </w:tabs>
        <w:rPr>
          <w:sz w:val="28"/>
          <w:szCs w:val="28"/>
        </w:rPr>
      </w:pPr>
      <w:r>
        <w:rPr>
          <w:sz w:val="28"/>
          <w:szCs w:val="28"/>
        </w:rPr>
        <w:t xml:space="preserve">Насосные установки (станции), повышающие давление в сети противопожарного водоснабжения до нормируемых пределов. </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За сетями, оборудованием и водоисточниками противопожарного водоснабжения, расположенными на территории объектов Филиала, должен осуществляться технический надзор персоналом этих объектов.</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Работы по монтажу, наладке, ремонту, реконструкции и техническому обслуживанию оборудования систем противопожарного </w:t>
      </w:r>
      <w:r>
        <w:rPr>
          <w:sz w:val="28"/>
          <w:szCs w:val="28"/>
        </w:rPr>
        <w:t xml:space="preserve">водоснабжения должны выполняться по договору специализированной организацией, имеющей лицензию МЧС России на данный вид деятельности.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Допускается про</w:t>
      </w:r>
      <w:r>
        <w:rPr>
          <w:sz w:val="28"/>
          <w:szCs w:val="28"/>
        </w:rPr>
        <w:t xml:space="preserve">водить работы по монтажу, наладке, ремонту и техническому обслуживанию оборудования систем противопожарного водоснабжения силами обученного в соответствующих организациях персонала Филиала при условии наличия лицензии МЧС России на данный вид деятельности.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В период эксплуатации должна быть обеспечена исправность, своевременное техническое обслуживание и ремонт источников наружного противопожарного водоснабжения и внутреннего противопожарного водопровода.</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Проверки работоспособности наружных и внутренних водопроводов противопожарного</w:t>
      </w:r>
      <w:r>
        <w:rPr>
          <w:sz w:val="28"/>
          <w:szCs w:val="28"/>
        </w:rPr>
        <w:t xml:space="preserve"> водоснабжения, включая испытания на водоотдачу, должны проводиться не реже 2 раз в год (весной и осенью) с составлением соответствующего акта и внесением результатов в журнал эксплуатации систем противопожарной защиты (Приложение А к настоящим указаниям).</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Испытание водопровода должно проводиться также после каждого ремонта, реконструкции или подключения новых потребителей к водопроводной сети в соответствии с проектом.</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Для надзора и поддержания исправного состояния и постоянной готовности систем и средств противопожарного водоснабжения к использованию в случае пожара должны быть распределены зоны ответственности между структурными подразделе</w:t>
      </w:r>
      <w:r>
        <w:rPr>
          <w:sz w:val="28"/>
          <w:szCs w:val="28"/>
        </w:rPr>
        <w:t xml:space="preserve">ниями и назначены лица, ответственные за эксплуатацию систем противопожарного водоснабжения объектов, которые должны контролировать периодичность и объем выполнения всех видов работ по техническому обслуживанию оборудования, входящего в состав этих систем.</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При наличии на территории объекта естественного или искусственного водоисточника (река, озеро, пруд, открытый подводящий (отводящий) воду канал (за</w:t>
      </w:r>
      <w:r>
        <w:rPr>
          <w:sz w:val="28"/>
          <w:szCs w:val="28"/>
        </w:rPr>
        <w:t xml:space="preserve"> исключением загрязненных стоков), градирня, противопожарные резервуары, бассейн и т.п.), к ним должен быть устроен подъезд с площадкой с твердым покрытием для установки передвижной пожарной техники и забора воды. Подъезд должен быть обозначен указателями.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Сеть противопожарного водопровода должна обеспечивать требуемый напор и расход воды на наружное пожаротушение.</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Запрещается проводить дополнительные подключения к сети противопожарного водоснабжения объекта, связанные с увеличением расхода воды и (или) пониж</w:t>
      </w:r>
      <w:r>
        <w:rPr>
          <w:sz w:val="28"/>
          <w:szCs w:val="28"/>
        </w:rPr>
        <w:t xml:space="preserve">ением давления в сети, без разработки проектной документации (внесения изменений в существующую), которая должна содержать гидравлический расчет сети противопожарного водоснабжения и технические решения по обеспечению требуемых значений давления и расхода.</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Ремо</w:t>
      </w:r>
      <w:r>
        <w:rPr>
          <w:sz w:val="28"/>
          <w:szCs w:val="28"/>
        </w:rPr>
        <w:t xml:space="preserve">нтные работы, связанные с временным отключением отдельных участков противопожарного водопровода, оборудования насосной станции и резервуаров с запасом воды для пожаротушения, должны производиться только после получения разрешения технического руководителя.</w:t>
      </w:r>
      <w:r>
        <w:rPr>
          <w:sz w:val="28"/>
          <w:szCs w:val="28"/>
        </w:rPr>
      </w:r>
    </w:p>
    <w:p>
      <w:pPr>
        <w:pStyle w:val="1250"/>
        <w:ind w:firstLine="709"/>
        <w:spacing w:after="0"/>
        <w:tabs>
          <w:tab w:val="left" w:pos="1701" w:leader="none"/>
        </w:tabs>
        <w:rPr>
          <w:sz w:val="28"/>
          <w:szCs w:val="28"/>
        </w:rPr>
      </w:pPr>
      <w:r>
        <w:rPr>
          <w:sz w:val="28"/>
          <w:szCs w:val="28"/>
        </w:rPr>
        <w:t xml:space="preserve">Технический руководитель при необходимости должен определить дополнительные меры для обеспечения надежного водоснабжения на весь период ремонта: прокладка временной водопроводной линии, дежурство работников и т.п.</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Выявленные неисправности и отклонения от нормального режима эксплуатации сети противопожарного водоснабжения должны устраняться в кратчайшие сроки путем организации аварийно-восстановительных работ.</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Запрещается закрывать и загромождать различным оборудованием и материалами крышки люков колодцев пожарных гидрантов и подъезды к ним.</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В зимнее время крышки ПГ следует регулярно очищать от снега и наледи. При их расположении рядом с автодорогой допускается устанавливать на них съемные конусные колпаки.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Направление движения к источникам противопож</w:t>
      </w:r>
      <w:r>
        <w:rPr>
          <w:sz w:val="28"/>
          <w:szCs w:val="28"/>
        </w:rPr>
        <w:t xml:space="preserve">арного водоснабжения должно обозначаться указателями со светоотражающей поверхностью, либо световыми указателями, подключенными к сети электроснабжения и включенными в ночное время или постоянно, с четко нанесенными цифрами расстояния до их местоположения.</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Помещения насосной станции противопожарного водоснабжения должны содержаться в чистоте, а оборудование – в постоянной готовности к работе. Хранение горючих веществ и материалов в помещениях насосной станции не допускается.</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Лицо, ответственное за эксплуатацию систем противопожарного во</w:t>
      </w:r>
      <w:r>
        <w:rPr>
          <w:sz w:val="28"/>
          <w:szCs w:val="28"/>
        </w:rPr>
        <w:t xml:space="preserve">доснабжения объекта, обеспечивает исправное состояние и проведение проверок работоспособности задвижек с электроприводом (не реже 2 раз в год) с внесением информации в журнал эксплуатации систем противопожарной защиты (Приложение А к настоящим указаниям). </w:t>
      </w:r>
      <w:r>
        <w:rPr>
          <w:sz w:val="28"/>
          <w:szCs w:val="28"/>
        </w:rPr>
      </w:r>
    </w:p>
    <w:p>
      <w:pPr>
        <w:pStyle w:val="1250"/>
        <w:ind w:firstLine="709"/>
        <w:spacing w:after="0"/>
        <w:tabs>
          <w:tab w:val="left" w:pos="1701" w:leader="none"/>
        </w:tabs>
        <w:rPr>
          <w:sz w:val="28"/>
          <w:szCs w:val="28"/>
        </w:rPr>
      </w:pPr>
      <w:r>
        <w:rPr>
          <w:sz w:val="28"/>
          <w:szCs w:val="28"/>
        </w:rPr>
        <w:t xml:space="preserve">Допускается для проведения испытаний выполнять на напорном водопроводе насоса специальный отвод (с запорной арматурой и манометром), который выводится наружу помещения насосной станции.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Не реже одного раза в месяц должна проверяться надежность перевода всех пожарных насосов на основное и резервное электроснабжение. Результаты должны регистрироваться в оперативном журнале.</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В помещении пожарной насосной станции должны быть вывешены: инструкция</w:t>
      </w:r>
      <w:r>
        <w:rPr>
          <w:sz w:val="28"/>
          <w:szCs w:val="28"/>
        </w:rPr>
        <w:t xml:space="preserve"> о порядке включения в работу насосов и открытия запорной арматуры, схема противопожарного водоснабжения, а также схема обвязки насосов с информацией о защищаемых помещениях зданий и сооружений (оборудовании, при его расположении вне зданий и сооружений), </w:t>
      </w:r>
      <w:r>
        <w:rPr>
          <w:sz w:val="28"/>
          <w:szCs w:val="28"/>
        </w:rPr>
        <w:t xml:space="preserve">а также о тип</w:t>
      </w:r>
      <w:r>
        <w:rPr>
          <w:sz w:val="28"/>
          <w:szCs w:val="28"/>
        </w:rPr>
        <w:t xml:space="preserve">е и количестве оросителей. На каждой задвижке и насосном пожарном агрегате должна быть табличка с информацией о защищаемых помещениях зданий и сооружений (оборудовании, при его расположении вне зданий и сооружений), о типе и количестве пожарных оросителей.</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Если насосная станция не имеет постоянного дежурного персонала, то помещение должно запираться на замок, а место хранения ключей указываться на двери.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Текущий ремонт насосного оборудования должен проводиться по графику, утвержденному техническим руководителем производственного отделения. Капитальный ремонт и замена деталей или всего агрегата должны производиться по мере необходимости в кратчайшие сроки.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Израсходованный при тушении пожара противопожарный запас воды из резервуаров должен быть восполнен в возможно короткий срок, н</w:t>
      </w:r>
      <w:r>
        <w:rPr>
          <w:sz w:val="28"/>
          <w:szCs w:val="28"/>
        </w:rPr>
        <w:t xml:space="preserve">о не более 24 часов. При наличии сигнализации уровня воды в резервуарах и автоматики включения насосов для их пополнения состояние этих устройств должно контролироваться не реже одного раза в квартал с записью в оперативный журнал соответствующего объекта.</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Пожарные краны внутреннего противопожарного водопровода во всех помещениях должны оснащаться рукавами длиной 20м и пожарными стволами, укладываемыми в навесные, встроенные или приставные пожарные шкафы, дверцы которых должны быть опломбированы.</w:t>
      </w:r>
      <w:r>
        <w:rPr>
          <w:sz w:val="28"/>
          <w:szCs w:val="28"/>
        </w:rPr>
      </w:r>
    </w:p>
    <w:p>
      <w:pPr>
        <w:pStyle w:val="1250"/>
        <w:ind w:firstLine="709"/>
        <w:spacing w:after="0"/>
        <w:tabs>
          <w:tab w:val="left" w:pos="1701" w:leader="none"/>
        </w:tabs>
        <w:rPr>
          <w:sz w:val="28"/>
          <w:szCs w:val="28"/>
        </w:rPr>
      </w:pPr>
      <w:r>
        <w:rPr>
          <w:sz w:val="28"/>
          <w:szCs w:val="28"/>
        </w:rPr>
        <w:t xml:space="preserve">Дверцы шкафа пожарного крана должны открываться не менее чем на 90 градусов. </w:t>
      </w:r>
      <w:r>
        <w:rPr>
          <w:sz w:val="28"/>
          <w:szCs w:val="28"/>
        </w:rPr>
      </w:r>
    </w:p>
    <w:p>
      <w:pPr>
        <w:pStyle w:val="1250"/>
        <w:ind w:firstLine="709"/>
        <w:spacing w:after="0"/>
        <w:tabs>
          <w:tab w:val="left" w:pos="1701" w:leader="none"/>
        </w:tabs>
        <w:rPr>
          <w:sz w:val="28"/>
          <w:szCs w:val="28"/>
        </w:rPr>
      </w:pPr>
      <w:r>
        <w:rPr>
          <w:sz w:val="28"/>
          <w:szCs w:val="28"/>
        </w:rPr>
        <w:t xml:space="preserve">Пожарный рукав должен быть присоединен к пожарному клапану пожарного крана и пожарному стволу.</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На дверце шкафа пожарного крана должны быть указаны буквенный индекс (ПК), порядковый номер, а также номер телефона вызова пожарной охраны или объектовой пожарной части.</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Способ установки пожарного крана должен обеспечивать удобство вращения маховика и присоединения пожарного рукава.</w:t>
      </w:r>
      <w:r>
        <w:rPr>
          <w:sz w:val="28"/>
          <w:szCs w:val="28"/>
        </w:rPr>
      </w:r>
    </w:p>
    <w:p>
      <w:pPr>
        <w:pStyle w:val="1250"/>
        <w:ind w:firstLine="709"/>
        <w:spacing w:after="0"/>
        <w:tabs>
          <w:tab w:val="left" w:pos="1701" w:leader="none"/>
        </w:tabs>
        <w:rPr>
          <w:sz w:val="28"/>
          <w:szCs w:val="28"/>
        </w:rPr>
      </w:pPr>
      <w:r>
        <w:rPr>
          <w:sz w:val="28"/>
          <w:szCs w:val="28"/>
        </w:rPr>
        <w:t xml:space="preserve">Направление оси выходного отверстия патрубка пожарного крана должно исключать резкий излом пожарного рукава в месте его присоединения. Проложенные рукавные линии не должны иметь переломов и скручивания.</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Пожарные рукав</w:t>
      </w:r>
      <w:r>
        <w:rPr>
          <w:sz w:val="28"/>
          <w:szCs w:val="28"/>
        </w:rPr>
        <w:t xml:space="preserve">а должны храниться сухими, хорошо скатанными (типа «скатка» или «гармошка») и не реже 1 раза в год перекатываться (для изменения места складки) с внесением информации в журнал эксплуатации систем противопожарной защиты (Приложение А к настоящим указаниям).</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На каждом объекте, оборудованном системой противопожарного водоснабжения должна быть</w:t>
      </w:r>
      <w:r>
        <w:rPr>
          <w:sz w:val="28"/>
          <w:szCs w:val="28"/>
        </w:rPr>
        <w:t xml:space="preserve"> утвержденная техническим руководителем технологическая схема наружного и (или) внутреннего противопожарного водопровода, которую следует хранить у лица, ответственного за эксплуатацию системы противопожарного водоснабжения объекта или на ГЩУ (в ЦУС, ОДС).</w:t>
      </w:r>
      <w:r>
        <w:rPr>
          <w:sz w:val="28"/>
          <w:szCs w:val="28"/>
        </w:rPr>
      </w:r>
    </w:p>
    <w:p>
      <w:pPr>
        <w:pStyle w:val="1250"/>
        <w:numPr>
          <w:ilvl w:val="2"/>
          <w:numId w:val="34"/>
        </w:numPr>
        <w:ind w:left="0" w:firstLine="709"/>
        <w:spacing w:after="0"/>
        <w:tabs>
          <w:tab w:val="left" w:pos="1701" w:leader="none"/>
        </w:tabs>
        <w:rPr>
          <w:sz w:val="28"/>
          <w:szCs w:val="28"/>
        </w:rPr>
      </w:pPr>
      <w:r>
        <w:rPr>
          <w:sz w:val="28"/>
          <w:szCs w:val="28"/>
        </w:rPr>
        <w:t xml:space="preserve">Все ручные задвижки систем противопожарного водоснабжения в нормальном режиме должны быть открыты и опломбированы. Любые оперативные изменения схемы водоснабжения на объекте должны отмечаться в оперативном журнале и на схеме.</w:t>
      </w:r>
      <w:r>
        <w:rPr>
          <w:sz w:val="28"/>
          <w:szCs w:val="28"/>
        </w:rPr>
      </w:r>
    </w:p>
    <w:p>
      <w:pPr>
        <w:pStyle w:val="1180"/>
        <w:jc w:val="both"/>
        <w:spacing w:before="0" w:beforeAutospacing="0" w:after="0" w:afterAutospacing="0"/>
        <w:tabs>
          <w:tab w:val="left" w:pos="993" w:leader="none"/>
        </w:tabs>
        <w:rPr>
          <w:sz w:val="28"/>
          <w:szCs w:val="28"/>
        </w:rPr>
      </w:pPr>
      <w:r>
        <w:rPr>
          <w:sz w:val="28"/>
          <w:szCs w:val="28"/>
        </w:rPr>
      </w:r>
      <w:r>
        <w:rPr>
          <w:sz w:val="28"/>
          <w:szCs w:val="28"/>
        </w:rPr>
      </w:r>
    </w:p>
    <w:p>
      <w:pPr>
        <w:pStyle w:val="1180"/>
        <w:numPr>
          <w:ilvl w:val="3"/>
          <w:numId w:val="21"/>
        </w:numPr>
        <w:ind w:left="0" w:firstLine="709"/>
        <w:jc w:val="both"/>
        <w:spacing w:before="0" w:beforeAutospacing="0" w:after="0" w:afterAutospacing="0"/>
        <w:tabs>
          <w:tab w:val="left" w:pos="1418" w:leader="none"/>
        </w:tabs>
        <w:rPr>
          <w:i/>
          <w:sz w:val="32"/>
          <w:szCs w:val="32"/>
        </w:rPr>
        <w:outlineLvl w:val="0"/>
      </w:pPr>
      <w:r>
        <w:rPr>
          <w:b/>
          <w:sz w:val="32"/>
          <w:szCs w:val="32"/>
        </w:rPr>
        <w:t xml:space="preserve"> </w:t>
      </w:r>
      <w:bookmarkStart w:id="130" w:name="_Toc124499124"/>
      <w:r/>
      <w:bookmarkStart w:id="131" w:name="Порядок_орг_тушения_пожаров_15"/>
      <w:r>
        <w:rPr>
          <w:b/>
          <w:sz w:val="32"/>
          <w:szCs w:val="32"/>
        </w:rPr>
        <w:t xml:space="preserve">Установки обнаружения и тушения пожара</w:t>
      </w:r>
      <w:bookmarkEnd w:id="130"/>
      <w:r/>
      <w:r>
        <w:rPr>
          <w:i/>
          <w:sz w:val="32"/>
          <w:szCs w:val="32"/>
        </w:rPr>
      </w:r>
    </w:p>
    <w:p>
      <w:pPr>
        <w:pStyle w:val="1180"/>
        <w:jc w:val="both"/>
        <w:spacing w:before="0" w:beforeAutospacing="0" w:after="0" w:afterAutospacing="0"/>
        <w:tabs>
          <w:tab w:val="left" w:pos="1276" w:leader="none"/>
        </w:tabs>
        <w:rPr>
          <w:b/>
        </w:rPr>
        <w:outlineLvl w:val="0"/>
      </w:pPr>
      <w:r>
        <w:rPr>
          <w:b/>
        </w:rPr>
      </w:r>
      <w:r>
        <w:rPr>
          <w:b/>
        </w:rPr>
      </w:r>
    </w:p>
    <w:p>
      <w:pPr>
        <w:pStyle w:val="1180"/>
        <w:numPr>
          <w:ilvl w:val="0"/>
          <w:numId w:val="83"/>
        </w:numPr>
        <w:ind w:left="0" w:firstLine="709"/>
        <w:jc w:val="both"/>
        <w:spacing w:before="0" w:beforeAutospacing="0" w:after="0" w:afterAutospacing="0"/>
        <w:tabs>
          <w:tab w:val="left" w:pos="1701" w:leader="none"/>
        </w:tabs>
        <w:rPr>
          <w:sz w:val="28"/>
          <w:szCs w:val="28"/>
        </w:rPr>
      </w:pPr>
      <w:r>
        <w:rPr>
          <w:sz w:val="28"/>
          <w:szCs w:val="28"/>
        </w:rPr>
        <w:t xml:space="preserve">Автоматические установки пожаротушения должны эксплуатироваться в автоматическом режиме запуска и технически исправном состоянии.</w:t>
      </w:r>
      <w:r>
        <w:rPr>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Вывод автоматических установок пожаротушения в дистанционный (ручной) режим запуска н</w:t>
      </w:r>
      <w:r>
        <w:rPr>
          <w:rFonts w:ascii="Times New Roman" w:hAnsi="Times New Roman" w:cs="Times New Roman"/>
          <w:sz w:val="28"/>
          <w:szCs w:val="28"/>
        </w:rPr>
        <w:t xml:space="preserve">а отдельных участках с сохранением функционирования автоматической пожарной сигнализации допускается с разрешения технического руководителя, при условии оформления в журнале заявок на вывод из работы оборудования и с записью в оперативном журнале на время:</w:t>
      </w:r>
      <w:r>
        <w:rPr>
          <w:rFonts w:ascii="Times New Roman" w:hAnsi="Times New Roman" w:cs="Times New Roman"/>
          <w:sz w:val="28"/>
          <w:szCs w:val="28"/>
        </w:rPr>
      </w:r>
    </w:p>
    <w:p>
      <w:pPr>
        <w:pStyle w:val="1184"/>
        <w:numPr>
          <w:ilvl w:val="0"/>
          <w:numId w:val="88"/>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Проведения регламентных работ по техническому обслуживанию или ремонтных работ на оборудовании автоматических установок пожаротушения.</w:t>
      </w:r>
      <w:r>
        <w:rPr>
          <w:rFonts w:ascii="Times New Roman" w:hAnsi="Times New Roman" w:cs="Times New Roman"/>
          <w:sz w:val="28"/>
          <w:szCs w:val="28"/>
        </w:rPr>
      </w:r>
    </w:p>
    <w:p>
      <w:pPr>
        <w:pStyle w:val="1184"/>
        <w:numPr>
          <w:ilvl w:val="0"/>
          <w:numId w:val="88"/>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Проведения работ на технологическом оборудовании и производственных сооружениях, защищаемых автоматическими установками пожаротушения.</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Необходимость оборудования зданий, тех</w:t>
      </w:r>
      <w:r>
        <w:rPr>
          <w:rFonts w:ascii="Times New Roman" w:hAnsi="Times New Roman" w:cs="Times New Roman"/>
          <w:sz w:val="28"/>
          <w:szCs w:val="28"/>
        </w:rPr>
        <w:t xml:space="preserve">нологических сооружений, помещений и оборудования энергообъектов стационарными установками обнаружения и тушения пожара определяется требованиями действующих нормативных правовых актов Российской Федерации и нормативных документов по пожарной безопасности.</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Оборудование, входящее в состав установок обнаружения и тушения пожара, должно быть в постоянной готовности к работе, не иметь дефектов и по техническим параметрам соответствовать паспортным данным и техническим условиям.</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bCs/>
          <w:sz w:val="28"/>
          <w:szCs w:val="28"/>
        </w:rPr>
        <w:t xml:space="preserve">З</w:t>
      </w:r>
      <w:r>
        <w:rPr>
          <w:rFonts w:ascii="Times New Roman" w:hAnsi="Times New Roman" w:cs="Times New Roman"/>
          <w:sz w:val="28"/>
          <w:szCs w:val="28"/>
        </w:rPr>
        <w:t xml:space="preserve">а </w:t>
      </w:r>
      <w:r>
        <w:rPr>
          <w:rFonts w:ascii="Times New Roman" w:hAnsi="Times New Roman" w:cs="Times New Roman"/>
          <w:sz w:val="28"/>
          <w:szCs w:val="28"/>
        </w:rPr>
        <w:t xml:space="preserve">установками обнаружения и тушения пожара должен быть установлен постоянный технический надзор, для чего из числа работников структурных подразделений ОРД руководителя Филиала назначаются ответственные за эксплуатацию установок обнаружения и тушения пожара.</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Ответственные за эксплуатацию установок обнаружения и тушения пож</w:t>
      </w:r>
      <w:r>
        <w:rPr>
          <w:rFonts w:ascii="Times New Roman" w:hAnsi="Times New Roman" w:cs="Times New Roman"/>
          <w:sz w:val="28"/>
          <w:szCs w:val="28"/>
        </w:rPr>
        <w:t xml:space="preserve">аров несут ответственность за их исправное состояние, своевременность проверки работоспособности и осуществление регламентных работ по техническому обслуживанию и качественному ремонту, а также за ведение необходимой документации по эксплуатации установок.</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Установки обнаружения и тушения пожара должны эксплуатироваться в соответствии с требованиями местных инструкций по их эксплуатации. Инструкция по эксплуатации установки должна разрабатываться на основании проектной документации на установку и </w:t>
      </w:r>
      <w:r>
        <w:rPr>
          <w:rFonts w:ascii="Times New Roman" w:hAnsi="Times New Roman" w:cs="Times New Roman"/>
          <w:sz w:val="28"/>
          <w:szCs w:val="28"/>
        </w:rPr>
        <w:t xml:space="preserve">технической документации заводов-изготовителей на оборудование, входящее в состав установки.</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График осмотров, текущих и капитальных ремонтов оборудования, входящего в состав установок, должен составляться на текущий год и утверждаться техническим руководителем Филиала.</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Дежурный персонал в течение смены обязан произвести осмотр </w:t>
      </w:r>
      <w:r>
        <w:rPr>
          <w:rFonts w:ascii="Times New Roman" w:hAnsi="Times New Roman" w:cs="Times New Roman"/>
          <w:sz w:val="28"/>
          <w:szCs w:val="28"/>
        </w:rPr>
        <w:t xml:space="preserve">и проверить работу приемно-контрольных приборов пожарной сигнализации, установленных на щите управления, а также аппаратуры управления автоматических установок пожаротушения в объеме, определенном инструкцией, и сделать соответствующую запись в оперативном</w:t>
      </w:r>
      <w:r>
        <w:rPr>
          <w:rFonts w:ascii="Times New Roman" w:hAnsi="Times New Roman" w:cs="Times New Roman"/>
          <w:sz w:val="28"/>
          <w:szCs w:val="28"/>
        </w:rPr>
        <w:t xml:space="preserve"> журнале смены. Допускается осматривать и проверять работу оборудования установок обнаружения и тушения пожара при выполнении осмотра оборудования всей подстанции. В этом случае разрешается делать запись в оперативном журнале без перечисления оборудования.</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Выявленные во время эксплуатации и осмотров неисправности и отклонения от нормальной схемы в установках пожарной сигн</w:t>
      </w:r>
      <w:r>
        <w:rPr>
          <w:rFonts w:ascii="Times New Roman" w:hAnsi="Times New Roman" w:cs="Times New Roman"/>
          <w:sz w:val="28"/>
          <w:szCs w:val="28"/>
        </w:rPr>
        <w:t xml:space="preserve">ализации и пожаротушения должны отмечаться журнале эксплуатации систем противопожарной защиты (Приложение А к настоящим указаниям). Должны приниматься незамедлительные меры к восстановлению работоспособности установок пожарной сигнализации и пожаротушения.</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На панелях управления установок пожаротушения, узлах управления запорно-пусковых устройств и в насосной станции должны быть надписи и порядковые номера, соответствующие местной инструкции и схеме противопожарного водо</w:t>
      </w:r>
      <w:r>
        <w:rPr>
          <w:rFonts w:ascii="Times New Roman" w:hAnsi="Times New Roman" w:cs="Times New Roman"/>
          <w:sz w:val="28"/>
          <w:szCs w:val="28"/>
        </w:rPr>
        <w:t xml:space="preserve">снабжения. В местах установки приемно-контрольных приборов пожарных должна размещаться информация с перечнем помещений, защищаемых установками противопожарной защиты. Для безадресных систем пожарной сигнализации указывается группа контролируемых помещений.</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устанавливать взамен неисправных пожарных извещателей другие, с худшими техническими параметрами и иными контролируемыми признаками обнаружения пожара, а также шунтировать шлейфы сигнальной линии при снятии извещателя в месте его установки.</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Запрещается подключение к трубопроводам противопожарного водоснабжения и установок пожаротушения различных водоразборных устройств (в том числе санитарно-гигиенических), не относящихся к данной системе.</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Звуковые и световые сигналы установок обнаружения и тушения пожара должны отличаться от сигналов аварийных и других видов технологической сигнализации, установленной на главном, центральном или блочном щите управления предприятия.</w:t>
      </w:r>
      <w:r>
        <w:rPr>
          <w:rFonts w:ascii="Times New Roman" w:hAnsi="Times New Roman" w:cs="Times New Roman"/>
          <w:sz w:val="28"/>
          <w:szCs w:val="28"/>
        </w:rPr>
      </w:r>
    </w:p>
    <w:p>
      <w:pPr>
        <w:pStyle w:val="1184"/>
        <w:numPr>
          <w:ilvl w:val="0"/>
          <w:numId w:val="83"/>
        </w:numPr>
        <w:ind w:left="0" w:firstLine="709"/>
        <w:jc w:val="both"/>
        <w:spacing w:before="0" w:beforeAutospacing="0" w:after="0" w:afterAutospacing="0"/>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Электропитание оборудования установок обнаружения и тушения пожара должно осущ</w:t>
      </w:r>
      <w:r>
        <w:rPr>
          <w:rFonts w:ascii="Times New Roman" w:hAnsi="Times New Roman" w:cs="Times New Roman"/>
          <w:sz w:val="28"/>
          <w:szCs w:val="28"/>
        </w:rPr>
        <w:t xml:space="preserve">ествляться от двух независимых источников переменного тока или от одного источника переменного тока, но с автоматическим переключением (если это не предусматривается специальными устройствами самой установки) на резервное питание от аккумуляторных батарей.</w:t>
      </w:r>
      <w:r>
        <w:rPr>
          <w:rFonts w:ascii="Times New Roman" w:hAnsi="Times New Roman" w:cs="Times New Roman"/>
          <w:sz w:val="28"/>
          <w:szCs w:val="28"/>
        </w:rPr>
      </w:r>
    </w:p>
    <w:p>
      <w:pPr>
        <w:pStyle w:val="1180"/>
        <w:jc w:val="both"/>
        <w:spacing w:before="0" w:beforeAutospacing="0" w:after="0" w:afterAutospacing="0"/>
        <w:tabs>
          <w:tab w:val="left" w:pos="1560" w:leader="none"/>
        </w:tabs>
        <w:outlineLvl w:val="0"/>
      </w:pPr>
      <w:r/>
      <w:r/>
    </w:p>
    <w:p>
      <w:pPr>
        <w:pStyle w:val="1180"/>
        <w:numPr>
          <w:ilvl w:val="0"/>
          <w:numId w:val="81"/>
        </w:numPr>
        <w:ind w:left="0" w:firstLine="709"/>
        <w:jc w:val="both"/>
        <w:spacing w:before="0" w:beforeAutospacing="0" w:after="0" w:afterAutospacing="0"/>
        <w:tabs>
          <w:tab w:val="left" w:pos="1418" w:leader="none"/>
        </w:tabs>
        <w:rPr>
          <w:i/>
          <w:sz w:val="32"/>
          <w:szCs w:val="32"/>
        </w:rPr>
        <w:outlineLvl w:val="0"/>
      </w:pPr>
      <w:r/>
      <w:bookmarkStart w:id="132" w:name="_Toc124499125"/>
      <w:r>
        <w:rPr>
          <w:b/>
          <w:sz w:val="32"/>
          <w:szCs w:val="32"/>
        </w:rPr>
        <w:t xml:space="preserve">Порядок организации тушения пожаров на оборудовании энергетических объектов</w:t>
      </w:r>
      <w:bookmarkEnd w:id="131"/>
      <w:r/>
      <w:bookmarkEnd w:id="132"/>
      <w:r/>
      <w:r>
        <w:rPr>
          <w:i/>
          <w:sz w:val="32"/>
          <w:szCs w:val="32"/>
        </w:rPr>
      </w:r>
    </w:p>
    <w:p>
      <w:pPr>
        <w:pStyle w:val="1142"/>
        <w:ind w:left="709"/>
        <w:jc w:val="both"/>
        <w:tabs>
          <w:tab w:val="left" w:pos="1418" w:leader="none"/>
        </w:tabs>
        <w:rPr>
          <w:rFonts w:ascii="Times New Roman" w:hAnsi="Times New Roman" w:cs="Times New Roman"/>
          <w:b/>
          <w:sz w:val="24"/>
          <w:szCs w:val="24"/>
        </w:rPr>
        <w:outlineLvl w:val="2"/>
      </w:pPr>
      <w:r>
        <w:rPr>
          <w:rFonts w:ascii="Times New Roman" w:hAnsi="Times New Roman" w:cs="Times New Roman"/>
          <w:b/>
          <w:sz w:val="24"/>
          <w:szCs w:val="24"/>
        </w:rPr>
      </w:r>
      <w:r>
        <w:rPr>
          <w:rFonts w:ascii="Times New Roman" w:hAnsi="Times New Roman" w:cs="Times New Roman"/>
          <w:b/>
          <w:sz w:val="24"/>
          <w:szCs w:val="24"/>
        </w:rPr>
      </w:r>
    </w:p>
    <w:p>
      <w:pPr>
        <w:pStyle w:val="1142"/>
        <w:numPr>
          <w:ilvl w:val="0"/>
          <w:numId w:val="82"/>
        </w:numPr>
        <w:ind w:left="0" w:firstLine="709"/>
        <w:jc w:val="both"/>
        <w:tabs>
          <w:tab w:val="left" w:pos="1418" w:leader="none"/>
        </w:tabs>
        <w:rPr>
          <w:rFonts w:ascii="Times New Roman" w:hAnsi="Times New Roman" w:cs="Times New Roman"/>
          <w:b/>
          <w:sz w:val="28"/>
          <w:szCs w:val="28"/>
        </w:rPr>
        <w:outlineLvl w:val="1"/>
      </w:pPr>
      <w:r/>
      <w:bookmarkStart w:id="133" w:name="_Toc41474118"/>
      <w:r/>
      <w:bookmarkStart w:id="134" w:name="_Toc112328590"/>
      <w:r/>
      <w:bookmarkStart w:id="135" w:name="_Toc124499126"/>
      <w:r>
        <w:rPr>
          <w:rFonts w:ascii="Times New Roman" w:hAnsi="Times New Roman" w:cs="Times New Roman"/>
          <w:b/>
          <w:sz w:val="28"/>
          <w:szCs w:val="28"/>
        </w:rPr>
        <w:t xml:space="preserve">Общие положения</w:t>
      </w:r>
      <w:bookmarkEnd w:id="133"/>
      <w:r/>
      <w:bookmarkEnd w:id="134"/>
      <w:r/>
      <w:bookmarkEnd w:id="135"/>
      <w:r/>
      <w:r>
        <w:rPr>
          <w:rFonts w:ascii="Times New Roman" w:hAnsi="Times New Roman" w:cs="Times New Roman"/>
          <w:b/>
          <w:sz w:val="28"/>
          <w:szCs w:val="28"/>
        </w:rPr>
      </w:r>
    </w:p>
    <w:p>
      <w:pPr>
        <w:pStyle w:val="1142"/>
        <w:ind w:left="709"/>
        <w:jc w:val="both"/>
        <w:tabs>
          <w:tab w:val="left" w:pos="1418" w:leader="none"/>
        </w:tabs>
        <w:rPr>
          <w:rFonts w:ascii="Times New Roman" w:hAnsi="Times New Roman" w:cs="Times New Roman"/>
          <w:b/>
          <w:sz w:val="24"/>
          <w:szCs w:val="24"/>
        </w:rPr>
        <w:outlineLvl w:val="2"/>
      </w:pPr>
      <w:r>
        <w:rPr>
          <w:rFonts w:ascii="Times New Roman" w:hAnsi="Times New Roman" w:cs="Times New Roman"/>
          <w:b/>
          <w:sz w:val="24"/>
          <w:szCs w:val="24"/>
        </w:rPr>
      </w:r>
      <w:r>
        <w:rPr>
          <w:rFonts w:ascii="Times New Roman" w:hAnsi="Times New Roman" w:cs="Times New Roman"/>
          <w:b/>
          <w:sz w:val="24"/>
          <w:szCs w:val="24"/>
        </w:rPr>
      </w:r>
    </w:p>
    <w:p>
      <w:pPr>
        <w:pStyle w:val="1142"/>
        <w:numPr>
          <w:ilvl w:val="2"/>
          <w:numId w:val="14"/>
        </w:numPr>
        <w:ind w:left="0" w:firstLine="709"/>
        <w:jc w:val="both"/>
        <w:tabs>
          <w:tab w:val="left" w:pos="1701" w:leader="none"/>
        </w:tabs>
        <w:rPr>
          <w:rFonts w:ascii="Times New Roman" w:hAnsi="Times New Roman" w:cs="Times New Roman"/>
          <w:sz w:val="28"/>
          <w:szCs w:val="28"/>
        </w:rPr>
      </w:pPr>
      <w:r/>
      <w:bookmarkStart w:id="136" w:name="_Toc41474119"/>
      <w:r>
        <w:rPr>
          <w:rFonts w:ascii="Times New Roman" w:hAnsi="Times New Roman" w:cs="Times New Roman"/>
          <w:sz w:val="28"/>
          <w:szCs w:val="28"/>
        </w:rPr>
        <w:t xml:space="preserve">Оборудование, не защищенное автоматическими установками пожаротушения, допускается тушить с использованием имеющихся в наличии огнетушащих средств и принятием необходимых мер безопасности лицами, принимающими участие в тушении.</w:t>
      </w:r>
      <w:bookmarkEnd w:id="136"/>
      <w:r/>
      <w:r>
        <w:rPr>
          <w:rFonts w:ascii="Times New Roman" w:hAnsi="Times New Roman" w:cs="Times New Roman"/>
          <w:sz w:val="28"/>
          <w:szCs w:val="28"/>
        </w:rPr>
      </w:r>
    </w:p>
    <w:p>
      <w:pPr>
        <w:pStyle w:val="1142"/>
        <w:numPr>
          <w:ilvl w:val="2"/>
          <w:numId w:val="14"/>
        </w:numPr>
        <w:ind w:left="0" w:firstLine="709"/>
        <w:jc w:val="both"/>
        <w:tabs>
          <w:tab w:val="left" w:pos="1701" w:leader="none"/>
        </w:tabs>
        <w:rPr>
          <w:rFonts w:ascii="Times New Roman" w:hAnsi="Times New Roman" w:cs="Times New Roman"/>
          <w:sz w:val="28"/>
          <w:szCs w:val="28"/>
        </w:rPr>
      </w:pPr>
      <w:r/>
      <w:bookmarkStart w:id="137" w:name="_Toc41474120"/>
      <w:r>
        <w:rPr>
          <w:rFonts w:ascii="Times New Roman" w:hAnsi="Times New Roman" w:cs="Times New Roman"/>
          <w:sz w:val="28"/>
          <w:szCs w:val="28"/>
        </w:rPr>
        <w:t xml:space="preserve">Необходимость тушения пожара на элементах оборудования, находящегося под напряжением до 0,4 кВ, определяется невозм</w:t>
      </w:r>
      <w:r>
        <w:rPr>
          <w:rFonts w:ascii="Times New Roman" w:hAnsi="Times New Roman" w:cs="Times New Roman"/>
          <w:sz w:val="28"/>
          <w:szCs w:val="28"/>
        </w:rPr>
        <w:t xml:space="preserve">ожностью снять напряжение переменного и постоянного тока с цепей вторичной коммутации из-за недопустимости потери управления оборудованием, что может привести к тяжелым последствиям для технологии энергетического производства и режима работы энергосистемы.</w:t>
      </w:r>
      <w:bookmarkEnd w:id="137"/>
      <w:r/>
      <w:r>
        <w:rPr>
          <w:rFonts w:ascii="Times New Roman" w:hAnsi="Times New Roman" w:cs="Times New Roman"/>
          <w:sz w:val="28"/>
          <w:szCs w:val="28"/>
        </w:rPr>
      </w:r>
    </w:p>
    <w:p>
      <w:pPr>
        <w:pStyle w:val="1142"/>
        <w:numPr>
          <w:ilvl w:val="2"/>
          <w:numId w:val="14"/>
        </w:numPr>
        <w:ind w:left="0" w:firstLine="709"/>
        <w:jc w:val="both"/>
        <w:tabs>
          <w:tab w:val="left" w:pos="1701" w:leader="none"/>
        </w:tabs>
        <w:rPr>
          <w:rFonts w:ascii="Times New Roman" w:hAnsi="Times New Roman" w:cs="Times New Roman"/>
          <w:sz w:val="28"/>
          <w:szCs w:val="28"/>
        </w:rPr>
      </w:pPr>
      <w:r/>
      <w:bookmarkStart w:id="138" w:name="_Toc41474121"/>
      <w:r>
        <w:rPr>
          <w:rFonts w:ascii="Times New Roman" w:hAnsi="Times New Roman" w:cs="Times New Roman"/>
          <w:sz w:val="28"/>
          <w:szCs w:val="28"/>
        </w:rPr>
        <w:t xml:space="preserve">В каждом Филиале оп</w:t>
      </w:r>
      <w:r>
        <w:rPr>
          <w:rFonts w:ascii="Times New Roman" w:hAnsi="Times New Roman" w:cs="Times New Roman"/>
          <w:sz w:val="28"/>
          <w:szCs w:val="28"/>
        </w:rPr>
        <w:t xml:space="preserve">ределяется перечень оборудования, находящегося под напряжением до 0,4 кВ, которое по условиям технологии не может быть обесточено в случае возникновения пожара.  При наличии такого оборудования перечень утверждается распоряжением технического руководителя </w:t>
      </w:r>
      <w:bookmarkEnd w:id="138"/>
      <w:r>
        <w:rPr>
          <w:rFonts w:ascii="Times New Roman" w:hAnsi="Times New Roman" w:cs="Times New Roman"/>
          <w:sz w:val="28"/>
          <w:szCs w:val="28"/>
        </w:rPr>
        <w:t xml:space="preserve">Филиала. </w:t>
      </w:r>
      <w:r>
        <w:rPr>
          <w:rFonts w:ascii="Times New Roman" w:hAnsi="Times New Roman" w:cs="Times New Roman"/>
          <w:sz w:val="28"/>
          <w:szCs w:val="28"/>
        </w:rPr>
      </w:r>
    </w:p>
    <w:p>
      <w:pPr>
        <w:pStyle w:val="1142"/>
        <w:numPr>
          <w:ilvl w:val="2"/>
          <w:numId w:val="14"/>
        </w:numPr>
        <w:ind w:left="0" w:firstLine="709"/>
        <w:jc w:val="both"/>
        <w:tabs>
          <w:tab w:val="left" w:pos="1701" w:leader="none"/>
        </w:tabs>
        <w:rPr>
          <w:rFonts w:ascii="Times New Roman" w:hAnsi="Times New Roman" w:cs="Times New Roman"/>
          <w:sz w:val="28"/>
          <w:szCs w:val="28"/>
        </w:rPr>
      </w:pPr>
      <w:r/>
      <w:bookmarkStart w:id="139" w:name="_Toc41474123"/>
      <w:r>
        <w:rPr>
          <w:rFonts w:ascii="Times New Roman" w:hAnsi="Times New Roman" w:cs="Times New Roman"/>
          <w:sz w:val="28"/>
          <w:szCs w:val="28"/>
        </w:rPr>
        <w:t xml:space="preserve">Оборудование, находящееся под напряжением выше 0,4 кВ перед допуском подразделений пожарной охраны к тушению пожара, должно быть обесточено.</w:t>
      </w:r>
      <w:bookmarkEnd w:id="139"/>
      <w:r/>
      <w:r>
        <w:rPr>
          <w:rFonts w:ascii="Times New Roman" w:hAnsi="Times New Roman" w:cs="Times New Roman"/>
          <w:sz w:val="28"/>
          <w:szCs w:val="28"/>
        </w:rPr>
      </w:r>
    </w:p>
    <w:p>
      <w:pPr>
        <w:pStyle w:val="1250"/>
        <w:numPr>
          <w:ilvl w:val="2"/>
          <w:numId w:val="14"/>
        </w:numPr>
        <w:ind w:left="0" w:firstLine="709"/>
        <w:spacing w:after="0"/>
        <w:tabs>
          <w:tab w:val="left" w:pos="1701" w:leader="none"/>
        </w:tabs>
        <w:rPr>
          <w:sz w:val="28"/>
          <w:szCs w:val="28"/>
        </w:rPr>
      </w:pPr>
      <w:r>
        <w:rPr>
          <w:sz w:val="28"/>
          <w:szCs w:val="28"/>
        </w:rPr>
        <w:t xml:space="preserve">При возникновении пожара на маслонаполненном оборудовании действиями оперативного персонала оно должно быть отключено от сети всех напряжений, если не отключилось от действия релейной защиты, и заземлено.</w:t>
      </w:r>
      <w:r>
        <w:rPr>
          <w:sz w:val="28"/>
          <w:szCs w:val="28"/>
        </w:rPr>
      </w:r>
    </w:p>
    <w:p>
      <w:pPr>
        <w:ind w:firstLine="709"/>
        <w:jc w:val="both"/>
        <w:tabs>
          <w:tab w:val="left" w:pos="1701" w:leader="none"/>
        </w:tabs>
        <w:rPr>
          <w:sz w:val="28"/>
          <w:szCs w:val="28"/>
        </w:rPr>
      </w:pPr>
      <w:r>
        <w:rPr>
          <w:sz w:val="28"/>
          <w:szCs w:val="28"/>
        </w:rPr>
        <w:t xml:space="preserve">Персонал должен действовать в соответствии с утвержденными планом/карточкой тушения пожара или оперативной карточкой действий персонала при пожаре, а также указаниями (распоряжениями) диспетчера (дежурного).</w:t>
      </w:r>
      <w:r>
        <w:rPr>
          <w:sz w:val="28"/>
          <w:szCs w:val="28"/>
        </w:rPr>
      </w:r>
    </w:p>
    <w:p>
      <w:pPr>
        <w:pStyle w:val="1142"/>
        <w:numPr>
          <w:ilvl w:val="2"/>
          <w:numId w:val="14"/>
        </w:numPr>
        <w:ind w:left="0" w:firstLine="709"/>
        <w:jc w:val="both"/>
        <w:tabs>
          <w:tab w:val="left" w:pos="1701" w:leader="none"/>
        </w:tabs>
        <w:rPr>
          <w:rFonts w:ascii="Times New Roman" w:hAnsi="Times New Roman" w:cs="Times New Roman"/>
          <w:sz w:val="28"/>
          <w:szCs w:val="28"/>
        </w:rPr>
      </w:pPr>
      <w:r/>
      <w:bookmarkStart w:id="140" w:name="_Toc41474124"/>
      <w:r>
        <w:rPr>
          <w:rFonts w:ascii="Times New Roman" w:hAnsi="Times New Roman" w:cs="Times New Roman"/>
          <w:sz w:val="28"/>
          <w:szCs w:val="28"/>
        </w:rPr>
        <w:t xml:space="preserve">Руководитель тушения пожара (РТП) имеет право приступит</w:t>
      </w:r>
      <w:r>
        <w:rPr>
          <w:rFonts w:ascii="Times New Roman" w:hAnsi="Times New Roman" w:cs="Times New Roman"/>
          <w:sz w:val="28"/>
          <w:szCs w:val="28"/>
        </w:rPr>
        <w:t xml:space="preserve">ь к тушению пожара только после получения письменного допуска на тушение, инструктажа личного состава подразделений пожарной охраны, участвующего в тушении пожара, представителями энергообъекта и создания условий визуального контроля над электроустановкой.</w:t>
      </w:r>
      <w:bookmarkEnd w:id="140"/>
      <w:r/>
      <w:r>
        <w:rPr>
          <w:rFonts w:ascii="Times New Roman" w:hAnsi="Times New Roman" w:cs="Times New Roman"/>
          <w:sz w:val="28"/>
          <w:szCs w:val="28"/>
        </w:rPr>
      </w:r>
    </w:p>
    <w:p>
      <w:pPr>
        <w:pStyle w:val="1142"/>
        <w:numPr>
          <w:ilvl w:val="2"/>
          <w:numId w:val="14"/>
        </w:numPr>
        <w:ind w:left="0" w:firstLine="709"/>
        <w:jc w:val="both"/>
        <w:tabs>
          <w:tab w:val="left" w:pos="1701" w:leader="none"/>
        </w:tabs>
        <w:rPr>
          <w:rFonts w:ascii="Times New Roman" w:hAnsi="Times New Roman" w:cs="Times New Roman"/>
          <w:sz w:val="28"/>
          <w:szCs w:val="28"/>
        </w:rPr>
      </w:pPr>
      <w:r/>
      <w:bookmarkStart w:id="141" w:name="_Toc41474125"/>
      <w:r>
        <w:rPr>
          <w:rFonts w:ascii="Times New Roman" w:hAnsi="Times New Roman" w:cs="Times New Roman"/>
          <w:sz w:val="28"/>
          <w:szCs w:val="28"/>
        </w:rPr>
        <w:t xml:space="preserve">Письменный допуск на тушение пожара руководителю тушения пожара выдается представителем энергетического объекта, которо</w:t>
      </w:r>
      <w:r>
        <w:rPr>
          <w:rFonts w:ascii="Times New Roman" w:hAnsi="Times New Roman" w:cs="Times New Roman"/>
          <w:sz w:val="28"/>
          <w:szCs w:val="28"/>
        </w:rPr>
        <w:t xml:space="preserve">му распорядительным документом Филиала предоставлено такое право (начальником смены энергообъекта, дежурным инженером подстанции, электромонтером по обслуживанию подстанции, электромонтером ОВБ, руководителем структурного подразделения, другим работником).</w:t>
      </w:r>
      <w:bookmarkEnd w:id="141"/>
      <w:r/>
      <w:r>
        <w:rPr>
          <w:rFonts w:ascii="Times New Roman" w:hAnsi="Times New Roman" w:cs="Times New Roman"/>
          <w:sz w:val="28"/>
          <w:szCs w:val="28"/>
        </w:rPr>
      </w:r>
    </w:p>
    <w:p>
      <w:pPr>
        <w:pStyle w:val="1142"/>
        <w:numPr>
          <w:ilvl w:val="2"/>
          <w:numId w:val="14"/>
        </w:numPr>
        <w:ind w:left="0" w:firstLine="709"/>
        <w:jc w:val="both"/>
        <w:tabs>
          <w:tab w:val="left" w:pos="1701" w:leader="none"/>
        </w:tabs>
        <w:rPr>
          <w:rFonts w:ascii="Times New Roman" w:hAnsi="Times New Roman" w:cs="Times New Roman"/>
          <w:sz w:val="28"/>
          <w:szCs w:val="28"/>
        </w:rPr>
      </w:pPr>
      <w:r/>
      <w:bookmarkStart w:id="142" w:name="_Toc41474126"/>
      <w:r>
        <w:rPr>
          <w:rFonts w:ascii="Times New Roman" w:hAnsi="Times New Roman" w:cs="Times New Roman"/>
          <w:sz w:val="28"/>
          <w:szCs w:val="28"/>
        </w:rPr>
        <w:t xml:space="preserve">Для тушения пожара на отключенном энергетическом оборудовании выдается письменный допуск по форме </w:t>
      </w:r>
      <w:hyperlink w:tooltip="#_Приложение_В" w:anchor="_Приложение_В" w:history="1">
        <w:r>
          <w:rPr>
            <w:rStyle w:val="1111"/>
            <w:rFonts w:ascii="Times New Roman" w:hAnsi="Times New Roman"/>
            <w:sz w:val="28"/>
            <w:szCs w:val="28"/>
          </w:rPr>
          <w:t xml:space="preserve">Приложения В</w:t>
        </w:r>
      </w:hyperlink>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к настоящим Руководящим указаниям, для тушения пожара на энергетическом </w:t>
      </w:r>
      <w:r>
        <w:rPr>
          <w:rFonts w:ascii="Times New Roman" w:hAnsi="Times New Roman" w:cs="Times New Roman"/>
          <w:sz w:val="28"/>
          <w:szCs w:val="28"/>
        </w:rPr>
        <w:t xml:space="preserve">оборудовании под напряжением до 0,4 кВ выдается письменный допуск по форме </w:t>
      </w:r>
      <w:hyperlink w:tooltip="#_Приложение_Г" w:anchor="_Приложение_Г" w:history="1">
        <w:r>
          <w:rPr>
            <w:rStyle w:val="1111"/>
            <w:rFonts w:ascii="Times New Roman" w:hAnsi="Times New Roman"/>
            <w:sz w:val="28"/>
            <w:szCs w:val="28"/>
          </w:rPr>
          <w:t xml:space="preserve">Приложение Г</w:t>
        </w:r>
      </w:hyperlink>
      <w:r>
        <w:rPr>
          <w:rFonts w:ascii="Times New Roman" w:hAnsi="Times New Roman" w:cs="Times New Roman"/>
          <w:sz w:val="28"/>
          <w:szCs w:val="28"/>
        </w:rPr>
        <w:t xml:space="preserve"> к настоящим Руководящим указаниям, который рекомендуется оформлять заранее с учетом требований ОКДПП.</w:t>
      </w:r>
      <w:bookmarkEnd w:id="142"/>
      <w:r/>
      <w:r>
        <w:rPr>
          <w:rFonts w:ascii="Times New Roman" w:hAnsi="Times New Roman" w:cs="Times New Roman"/>
          <w:sz w:val="28"/>
          <w:szCs w:val="28"/>
        </w:rPr>
      </w:r>
    </w:p>
    <w:p>
      <w:pPr>
        <w:pStyle w:val="1142"/>
        <w:ind w:left="709"/>
        <w:jc w:val="both"/>
        <w:tabs>
          <w:tab w:val="left" w:pos="1560" w:leader="none"/>
        </w:tabs>
        <w:rPr>
          <w:rFonts w:ascii="Times New Roman" w:hAnsi="Times New Roman" w:cs="Times New Roman"/>
          <w:sz w:val="28"/>
          <w:szCs w:val="28"/>
          <w:highlight w:val="cyan"/>
        </w:rPr>
        <w:outlineLvl w:val="2"/>
      </w:pPr>
      <w:r>
        <w:rPr>
          <w:rFonts w:ascii="Times New Roman" w:hAnsi="Times New Roman" w:cs="Times New Roman"/>
          <w:sz w:val="28"/>
          <w:szCs w:val="28"/>
          <w:highlight w:val="cyan"/>
        </w:rPr>
      </w:r>
      <w:r>
        <w:rPr>
          <w:rFonts w:ascii="Times New Roman" w:hAnsi="Times New Roman" w:cs="Times New Roman"/>
          <w:sz w:val="28"/>
          <w:szCs w:val="28"/>
          <w:highlight w:val="cyan"/>
        </w:rPr>
      </w:r>
    </w:p>
    <w:p>
      <w:pPr>
        <w:pStyle w:val="1142"/>
        <w:numPr>
          <w:ilvl w:val="0"/>
          <w:numId w:val="82"/>
        </w:numPr>
        <w:ind w:left="0" w:firstLine="709"/>
        <w:jc w:val="both"/>
        <w:tabs>
          <w:tab w:val="left" w:pos="1418" w:leader="none"/>
        </w:tabs>
        <w:rPr>
          <w:rFonts w:ascii="Times New Roman" w:hAnsi="Times New Roman" w:cs="Times New Roman"/>
          <w:b/>
          <w:sz w:val="28"/>
          <w:szCs w:val="28"/>
        </w:rPr>
        <w:outlineLvl w:val="1"/>
      </w:pPr>
      <w:r/>
      <w:bookmarkStart w:id="143" w:name="Треб_ПБ_при_вып_работ_по_туш_пожара_15_2"/>
      <w:r/>
      <w:bookmarkStart w:id="144" w:name="_Toc41474127"/>
      <w:r/>
      <w:bookmarkStart w:id="145" w:name="_Toc112328591"/>
      <w:r/>
      <w:bookmarkStart w:id="146" w:name="_Toc124499127"/>
      <w:r>
        <w:rPr>
          <w:rFonts w:ascii="Times New Roman" w:hAnsi="Times New Roman" w:cs="Times New Roman"/>
          <w:b/>
          <w:sz w:val="28"/>
          <w:szCs w:val="28"/>
        </w:rPr>
        <w:t xml:space="preserve">Требования безопасности при выполнении работ по тушению пожара</w:t>
      </w:r>
      <w:bookmarkEnd w:id="143"/>
      <w:r/>
      <w:bookmarkEnd w:id="144"/>
      <w:r/>
      <w:bookmarkEnd w:id="145"/>
      <w:r/>
      <w:bookmarkEnd w:id="146"/>
      <w:r/>
      <w:r>
        <w:rPr>
          <w:rFonts w:ascii="Times New Roman" w:hAnsi="Times New Roman" w:cs="Times New Roman"/>
          <w:b/>
          <w:sz w:val="28"/>
          <w:szCs w:val="28"/>
        </w:rPr>
      </w:r>
    </w:p>
    <w:p>
      <w:pPr>
        <w:pStyle w:val="1142"/>
        <w:ind w:left="709"/>
        <w:jc w:val="both"/>
        <w:tabs>
          <w:tab w:val="left" w:pos="1418" w:leader="none"/>
        </w:tabs>
        <w:rPr>
          <w:rFonts w:ascii="Times New Roman" w:hAnsi="Times New Roman" w:cs="Times New Roman"/>
          <w:b/>
          <w:sz w:val="28"/>
          <w:szCs w:val="28"/>
        </w:rPr>
        <w:outlineLvl w:val="2"/>
      </w:pPr>
      <w:r>
        <w:rPr>
          <w:rFonts w:ascii="Times New Roman" w:hAnsi="Times New Roman" w:cs="Times New Roman"/>
          <w:b/>
          <w:sz w:val="28"/>
          <w:szCs w:val="28"/>
        </w:rPr>
      </w:r>
      <w:r>
        <w:rPr>
          <w:rFonts w:ascii="Times New Roman" w:hAnsi="Times New Roman" w:cs="Times New Roman"/>
          <w:b/>
          <w:sz w:val="28"/>
          <w:szCs w:val="28"/>
        </w:rPr>
      </w:r>
    </w:p>
    <w:p>
      <w:pPr>
        <w:pStyle w:val="1142"/>
        <w:numPr>
          <w:ilvl w:val="0"/>
          <w:numId w:val="84"/>
        </w:numPr>
        <w:ind w:left="0" w:firstLine="709"/>
        <w:jc w:val="both"/>
        <w:tabs>
          <w:tab w:val="left" w:pos="1701" w:leader="none"/>
        </w:tabs>
        <w:rPr>
          <w:rFonts w:ascii="Times New Roman" w:hAnsi="Times New Roman" w:cs="Times New Roman"/>
          <w:sz w:val="28"/>
          <w:szCs w:val="28"/>
        </w:rPr>
      </w:pPr>
      <w:r/>
      <w:bookmarkStart w:id="147" w:name="_Toc41474128"/>
      <w:r>
        <w:rPr>
          <w:rFonts w:ascii="Times New Roman" w:hAnsi="Times New Roman" w:cs="Times New Roman"/>
          <w:sz w:val="28"/>
          <w:szCs w:val="28"/>
        </w:rPr>
        <w:t xml:space="preserve">Пожары на электрооборудовании, находящемся под напряжением до 0,4 кВ, допускается тушить распыленными струями воды, подаваемой из заземлённых ручных пожарных стволов с расстояния не менее 5 метров.</w:t>
      </w:r>
      <w:bookmarkStart w:id="148" w:name="_Toc41474129"/>
      <w:r/>
      <w:bookmarkEnd w:id="147"/>
      <w:r/>
      <w:r>
        <w:rPr>
          <w:rFonts w:ascii="Times New Roman" w:hAnsi="Times New Roman" w:cs="Times New Roman"/>
          <w:sz w:val="28"/>
          <w:szCs w:val="28"/>
        </w:rPr>
      </w:r>
    </w:p>
    <w:p>
      <w:pPr>
        <w:pStyle w:val="1142"/>
        <w:numPr>
          <w:ilvl w:val="0"/>
          <w:numId w:val="8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Тушение компактными струями воды не допускается.</w:t>
      </w:r>
      <w:bookmarkEnd w:id="148"/>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955" w:leader="none"/>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Тушение пожаров электрооборудования, находящегося под напряжением, может осуществляться с помощью углекислотных, порошковых, хладоновых и других сертифицированных и соответствующих техническим условиям и рекомендациям заводов-изготовителей огнетушителей.</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использо</w:t>
      </w:r>
      <w:r>
        <w:rPr>
          <w:rFonts w:ascii="Times New Roman" w:hAnsi="Times New Roman" w:cs="Times New Roman"/>
          <w:sz w:val="28"/>
          <w:szCs w:val="28"/>
        </w:rPr>
        <w:t xml:space="preserve">вании огнетушителей для тушения электрооборудования, находящегося под напряжением, необходимо соблюдать минимально безопасное расстояние от распыляющего сопла и корпуса огнетушителя до токоведущих частей в соответствии с рекомендациями завода-изготовителя.</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Углекислотные огнетушители запрещается применять для тушения пожаров электрооборудования, находящегося под напряжением выше 10 кВ.</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Углекислотный огнетушитель, оснащенный раструбом из металла, не должен использоваться для тушения пожаров электрооборудования, находящегося под напряжением.</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Порошковыми огнетушителями запрещается тушить электрооборудование, находящееся под напряжением выше 1 кВ.</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Хладоновыми огнетушителями запрещается тушить электрооборудование, находящееся под напряжением выше 0,4 кВ.</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Воздушно-эмульсионные огнетушители запрещается применять для тушения пожаров электрооборудования, находящегося под напряжением выше 20 кВ (если огнетушители сертифицированы для тушения электрооборудования под напряжением до 20 кВ).</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Устройства для заземления пожарных стволов, пеногенераторов и насосов пожарных </w:t>
      </w:r>
      <w:r>
        <w:rPr>
          <w:rFonts w:ascii="Times New Roman" w:hAnsi="Times New Roman" w:cs="Times New Roman"/>
          <w:sz w:val="28"/>
          <w:szCs w:val="28"/>
          <w:shd w:val="clear" w:color="auto" w:fill="ffffff"/>
        </w:rPr>
        <w:t xml:space="preserve">автомобилей</w:t>
      </w:r>
      <w:r>
        <w:rPr>
          <w:rFonts w:ascii="Times New Roman" w:hAnsi="Times New Roman" w:cs="Times New Roman"/>
          <w:sz w:val="28"/>
          <w:szCs w:val="28"/>
        </w:rPr>
        <w:t xml:space="preserve"> должны быть выполнены из гибких медных проводов,</w:t>
      </w:r>
      <w:r>
        <w:rPr>
          <w:rFonts w:ascii="Times New Roman" w:hAnsi="Times New Roman" w:cs="Times New Roman"/>
          <w:i/>
          <w:sz w:val="28"/>
          <w:szCs w:val="28"/>
        </w:rPr>
        <w:t xml:space="preserve"> </w:t>
      </w:r>
      <w:r>
        <w:rPr>
          <w:rFonts w:ascii="Times New Roman" w:hAnsi="Times New Roman" w:cs="Times New Roman"/>
          <w:sz w:val="28"/>
          <w:szCs w:val="28"/>
          <w:shd w:val="clear" w:color="auto" w:fill="ffffff"/>
        </w:rPr>
        <w:t xml:space="preserve">сечением не менее 16 мм²</w:t>
      </w:r>
      <w:r>
        <w:rPr>
          <w:rFonts w:ascii="Times New Roman" w:hAnsi="Times New Roman" w:cs="Times New Roman"/>
          <w:sz w:val="28"/>
          <w:szCs w:val="28"/>
        </w:rPr>
        <w:t xml:space="preserve">, снабженных специальными струбцинами для подключения к заземленным конструкциям </w:t>
      </w:r>
      <w:r>
        <w:rPr>
          <w:rFonts w:ascii="Times New Roman" w:hAnsi="Times New Roman" w:cs="Times New Roman"/>
          <w:color w:val="000000"/>
          <w:sz w:val="28"/>
          <w:szCs w:val="28"/>
        </w:rPr>
        <w:t xml:space="preserve">(металлическим опорам отходящих воздушных линий электропередач, обсадным трубам артезианских скважин, шурфов и т.п.).</w:t>
      </w:r>
      <w:r>
        <w:rPr>
          <w:rFonts w:ascii="Times New Roman" w:hAnsi="Times New Roman" w:cs="Times New Roman"/>
          <w:color w:val="000000"/>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color w:val="000000"/>
          <w:sz w:val="28"/>
          <w:szCs w:val="28"/>
        </w:rPr>
      </w:pPr>
      <w:r/>
      <w:bookmarkStart w:id="149" w:name="_Toc41474130"/>
      <w:r>
        <w:rPr>
          <w:rFonts w:ascii="Times New Roman" w:hAnsi="Times New Roman" w:cs="Times New Roman"/>
          <w:color w:val="000000"/>
          <w:sz w:val="28"/>
          <w:szCs w:val="28"/>
        </w:rPr>
        <w:t xml:space="preserve">Ручные пожарные стволы и насосы пожарных </w:t>
      </w:r>
      <w:r>
        <w:rPr>
          <w:rFonts w:ascii="Times New Roman" w:hAnsi="Times New Roman" w:cs="Times New Roman"/>
          <w:color w:val="000000"/>
          <w:sz w:val="28"/>
          <w:szCs w:val="28"/>
          <w:shd w:val="clear" w:color="auto" w:fill="ffffff"/>
        </w:rPr>
        <w:t xml:space="preserve">автомобилей</w:t>
      </w:r>
      <w:r>
        <w:rPr>
          <w:rFonts w:ascii="Times New Roman" w:hAnsi="Times New Roman" w:cs="Times New Roman"/>
          <w:color w:val="000000"/>
          <w:sz w:val="28"/>
          <w:szCs w:val="28"/>
        </w:rPr>
        <w:t xml:space="preserve"> должны заземляться отдельными заземлителями.</w:t>
      </w:r>
      <w:bookmarkEnd w:id="149"/>
      <w:r/>
      <w:r>
        <w:rPr>
          <w:rFonts w:ascii="Times New Roman" w:hAnsi="Times New Roman" w:cs="Times New Roman"/>
          <w:color w:val="000000"/>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bookmarkStart w:id="150" w:name="_Toc41474131"/>
      <w:r>
        <w:rPr>
          <w:rFonts w:ascii="Times New Roman" w:hAnsi="Times New Roman" w:cs="Times New Roman"/>
          <w:sz w:val="28"/>
          <w:szCs w:val="28"/>
        </w:rPr>
        <w:t xml:space="preserve">При тушении электроустановок, находящихся под напряжением </w:t>
      </w:r>
      <w:r>
        <w:rPr>
          <w:rFonts w:ascii="Times New Roman" w:hAnsi="Times New Roman" w:cs="Times New Roman"/>
          <w:sz w:val="28"/>
          <w:szCs w:val="28"/>
        </w:rPr>
        <w:t xml:space="preserve">до 0,4 кВ, распыленными струями воды личный состав подразделений пожарной охраны обязан соблюдать следующие требования безопасности:</w:t>
      </w:r>
      <w:bookmarkEnd w:id="150"/>
      <w:r/>
      <w:r>
        <w:rPr>
          <w:rFonts w:ascii="Times New Roman" w:hAnsi="Times New Roman" w:cs="Times New Roman"/>
          <w:sz w:val="28"/>
          <w:szCs w:val="28"/>
        </w:rPr>
      </w:r>
    </w:p>
    <w:p>
      <w:pPr>
        <w:pStyle w:val="1142"/>
        <w:numPr>
          <w:ilvl w:val="0"/>
          <w:numId w:val="80"/>
        </w:numPr>
        <w:ind w:left="0" w:firstLine="709"/>
        <w:jc w:val="both"/>
        <w:shd w:val="clear" w:color="auto" w:fill="ffffff"/>
        <w:tabs>
          <w:tab w:val="left" w:pos="1701" w:leader="none"/>
          <w:tab w:val="left" w:pos="1843" w:leader="none"/>
        </w:tabs>
        <w:rPr>
          <w:rFonts w:ascii="Times New Roman" w:hAnsi="Times New Roman" w:cs="Times New Roman"/>
          <w:sz w:val="28"/>
          <w:szCs w:val="28"/>
        </w:rPr>
      </w:pPr>
      <w:r>
        <w:rPr>
          <w:rFonts w:ascii="Times New Roman" w:hAnsi="Times New Roman" w:cs="Times New Roman"/>
          <w:sz w:val="28"/>
          <w:szCs w:val="28"/>
        </w:rPr>
        <w:t xml:space="preserve">Работать со средствами пожаротушения в диэлектрических перчатках и ботах, а при задымлении – в изолирующих индивидуальных средствах защиты органов дыхания.</w:t>
      </w:r>
      <w:r>
        <w:rPr>
          <w:rFonts w:ascii="Times New Roman" w:hAnsi="Times New Roman" w:cs="Times New Roman"/>
          <w:sz w:val="28"/>
          <w:szCs w:val="28"/>
        </w:rPr>
      </w:r>
    </w:p>
    <w:p>
      <w:pPr>
        <w:pStyle w:val="1142"/>
        <w:numPr>
          <w:ilvl w:val="0"/>
          <w:numId w:val="80"/>
        </w:numPr>
        <w:ind w:left="0" w:firstLine="709"/>
        <w:jc w:val="both"/>
        <w:shd w:val="clear" w:color="auto" w:fill="ffffff"/>
        <w:tabs>
          <w:tab w:val="left" w:pos="1701" w:leader="none"/>
          <w:tab w:val="left" w:pos="1843" w:leader="none"/>
        </w:tabs>
        <w:rPr>
          <w:rFonts w:ascii="Times New Roman" w:hAnsi="Times New Roman" w:cs="Times New Roman"/>
          <w:sz w:val="28"/>
          <w:szCs w:val="28"/>
        </w:rPr>
      </w:pPr>
      <w:r>
        <w:rPr>
          <w:rFonts w:ascii="Times New Roman" w:hAnsi="Times New Roman" w:cs="Times New Roman"/>
          <w:sz w:val="28"/>
          <w:szCs w:val="28"/>
        </w:rPr>
        <w:t xml:space="preserve">Находиться на безопасном расстоянии от электроустановок.</w:t>
      </w:r>
      <w:r>
        <w:rPr>
          <w:rFonts w:ascii="Times New Roman" w:hAnsi="Times New Roman" w:cs="Times New Roman"/>
          <w:sz w:val="28"/>
          <w:szCs w:val="28"/>
        </w:rPr>
      </w:r>
    </w:p>
    <w:p>
      <w:pPr>
        <w:pStyle w:val="1142"/>
        <w:numPr>
          <w:ilvl w:val="0"/>
          <w:numId w:val="80"/>
        </w:numPr>
        <w:ind w:left="0" w:firstLine="709"/>
        <w:jc w:val="both"/>
        <w:shd w:val="clear" w:color="auto" w:fill="ffffff"/>
        <w:tabs>
          <w:tab w:val="left" w:pos="1701" w:leader="none"/>
          <w:tab w:val="left" w:pos="1843" w:leader="none"/>
        </w:tabs>
        <w:rPr>
          <w:rFonts w:ascii="Times New Roman" w:hAnsi="Times New Roman" w:cs="Times New Roman"/>
          <w:sz w:val="28"/>
          <w:szCs w:val="28"/>
        </w:rPr>
      </w:pPr>
      <w:r>
        <w:rPr>
          <w:rFonts w:ascii="Times New Roman" w:hAnsi="Times New Roman" w:cs="Times New Roman"/>
          <w:sz w:val="28"/>
          <w:szCs w:val="28"/>
        </w:rPr>
        <w:t xml:space="preserve">Заземлить пожарный ствол и насос пожарного автомобиля.</w:t>
      </w:r>
      <w:r>
        <w:rPr>
          <w:rFonts w:ascii="Times New Roman" w:hAnsi="Times New Roman" w:cs="Times New Roman"/>
          <w:sz w:val="28"/>
          <w:szCs w:val="28"/>
        </w:rPr>
      </w:r>
    </w:p>
    <w:p>
      <w:pPr>
        <w:pStyle w:val="1142"/>
        <w:numPr>
          <w:ilvl w:val="0"/>
          <w:numId w:val="80"/>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Подавать распыленные струи воды из пожарных стволов с расстояния не менее 5 метров до токоведущих частей оборудования.</w:t>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Личному составу подразделений пожарной охраны запрещается:</w:t>
      </w:r>
      <w:r>
        <w:rPr>
          <w:rFonts w:ascii="Times New Roman" w:hAnsi="Times New Roman" w:cs="Times New Roman"/>
          <w:sz w:val="28"/>
          <w:szCs w:val="28"/>
        </w:rPr>
      </w:r>
    </w:p>
    <w:p>
      <w:pPr>
        <w:ind w:firstLine="709"/>
        <w:jc w:val="both"/>
        <w:shd w:val="clear" w:color="auto" w:fill="ffffff"/>
        <w:tabs>
          <w:tab w:val="left" w:pos="1701" w:leader="none"/>
        </w:tabs>
        <w:rPr>
          <w:sz w:val="28"/>
          <w:szCs w:val="28"/>
        </w:rPr>
      </w:pPr>
      <w:r>
        <w:rPr>
          <w:sz w:val="28"/>
          <w:szCs w:val="28"/>
        </w:rPr>
        <w:t xml:space="preserve">- самостоятельно производить какие-либо отключения и прочие операции с электрооборудованием.</w:t>
      </w:r>
      <w:r>
        <w:rPr>
          <w:sz w:val="28"/>
          <w:szCs w:val="28"/>
        </w:rPr>
      </w:r>
    </w:p>
    <w:p>
      <w:pPr>
        <w:ind w:firstLine="709"/>
        <w:jc w:val="both"/>
        <w:shd w:val="clear" w:color="auto" w:fill="ffffff"/>
        <w:tabs>
          <w:tab w:val="left" w:pos="1701" w:leader="none"/>
          <w:tab w:val="left" w:pos="1843" w:leader="none"/>
        </w:tabs>
        <w:rPr>
          <w:sz w:val="28"/>
          <w:szCs w:val="28"/>
        </w:rPr>
      </w:pPr>
      <w:r>
        <w:rPr>
          <w:sz w:val="28"/>
          <w:szCs w:val="28"/>
        </w:rPr>
        <w:t xml:space="preserve">- осуществлять тушение пожара в сильно задымленных помещениях с видимостью менее 5 метров.</w:t>
      </w:r>
      <w:r>
        <w:rPr>
          <w:sz w:val="28"/>
          <w:szCs w:val="28"/>
        </w:rPr>
      </w:r>
    </w:p>
    <w:p>
      <w:pPr>
        <w:ind w:firstLine="709"/>
        <w:jc w:val="both"/>
        <w:shd w:val="clear" w:color="auto" w:fill="ffffff"/>
        <w:tabs>
          <w:tab w:val="left" w:pos="1701" w:leader="none"/>
          <w:tab w:val="left" w:pos="1843" w:leader="none"/>
        </w:tabs>
        <w:rPr>
          <w:sz w:val="28"/>
          <w:szCs w:val="28"/>
        </w:rPr>
      </w:pPr>
      <w:r/>
      <w:bookmarkStart w:id="151" w:name="_Toc41474132"/>
      <w:r>
        <w:rPr>
          <w:sz w:val="28"/>
          <w:szCs w:val="28"/>
        </w:rPr>
        <w:t xml:space="preserve">- использовать в качестве огнетушащего вещества морскую воду, а также воду с добавлением пенообразователей, смачивателей и солей.</w:t>
      </w:r>
      <w:bookmarkEnd w:id="151"/>
      <w:r/>
      <w:r>
        <w:rPr>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bookmarkStart w:id="152" w:name="_Toc41474135"/>
      <w:r>
        <w:rPr>
          <w:rFonts w:ascii="Times New Roman" w:hAnsi="Times New Roman" w:cs="Times New Roman"/>
          <w:sz w:val="28"/>
          <w:szCs w:val="28"/>
        </w:rPr>
        <w:t xml:space="preserve">Необходимое количество и хранение заземляющих устройств (переносных заземлений), диэлектрических комплектов (боты и перчатки) на ПС определяется при разработке ОКДПП (ПТП/КТП).</w:t>
      </w:r>
      <w:bookmarkEnd w:id="152"/>
      <w:r/>
      <w:r>
        <w:rPr>
          <w:rFonts w:ascii="Times New Roman" w:hAnsi="Times New Roman" w:cs="Times New Roman"/>
          <w:sz w:val="28"/>
          <w:szCs w:val="28"/>
        </w:rPr>
      </w:r>
    </w:p>
    <w:p>
      <w:pPr>
        <w:pStyle w:val="1142"/>
        <w:ind w:left="0" w:firstLine="709"/>
        <w:jc w:val="both"/>
        <w:shd w:val="clear" w:color="auto" w:fill="ffffff"/>
        <w:tabs>
          <w:tab w:val="left" w:pos="1701" w:leader="none"/>
        </w:tabs>
        <w:rPr>
          <w:rFonts w:ascii="Times New Roman" w:hAnsi="Times New Roman" w:cs="Times New Roman"/>
          <w:sz w:val="28"/>
          <w:szCs w:val="28"/>
        </w:rPr>
      </w:pPr>
      <w:r/>
      <w:bookmarkStart w:id="153" w:name="_Toc41474136"/>
      <w:r>
        <w:rPr>
          <w:rFonts w:ascii="Times New Roman" w:hAnsi="Times New Roman" w:cs="Times New Roman"/>
          <w:sz w:val="28"/>
          <w:szCs w:val="28"/>
        </w:rPr>
        <w:t xml:space="preserve">Проверка годности заземляющих устройств и диэлектрических комплектов (боты, перчатки) должна проводиться в соответствии с действующими НТД.</w:t>
      </w:r>
      <w:bookmarkEnd w:id="153"/>
      <w:r/>
      <w:r>
        <w:rPr>
          <w:rFonts w:ascii="Times New Roman" w:hAnsi="Times New Roman" w:cs="Times New Roman"/>
          <w:sz w:val="28"/>
          <w:szCs w:val="28"/>
        </w:rPr>
      </w:r>
    </w:p>
    <w:p>
      <w:pPr>
        <w:pStyle w:val="1142"/>
        <w:numPr>
          <w:ilvl w:val="0"/>
          <w:numId w:val="84"/>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 личного состава подразделения пожарной охраны при проведении инструктажа о мерах безопасности перед выдачей допуска на тушение пожара</w:t>
      </w:r>
      <w:r>
        <w:rPr>
          <w:rFonts w:ascii="Times New Roman" w:hAnsi="Times New Roman" w:cs="Times New Roman"/>
          <w:color w:val="000000"/>
          <w:sz w:val="28"/>
          <w:szCs w:val="28"/>
        </w:rPr>
        <w:t xml:space="preserve"> должны быть доведены  требования настоящего раздела.</w:t>
      </w:r>
      <w:r>
        <w:rPr>
          <w:rFonts w:ascii="Times New Roman" w:hAnsi="Times New Roman" w:cs="Times New Roman"/>
          <w:sz w:val="28"/>
          <w:szCs w:val="28"/>
        </w:rPr>
      </w:r>
    </w:p>
    <w:p>
      <w:pPr>
        <w:pStyle w:val="1142"/>
        <w:ind w:left="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1142"/>
        <w:numPr>
          <w:ilvl w:val="1"/>
          <w:numId w:val="85"/>
        </w:numPr>
        <w:ind w:left="0" w:firstLine="709"/>
        <w:jc w:val="both"/>
        <w:tabs>
          <w:tab w:val="left" w:pos="1418" w:leader="none"/>
        </w:tabs>
        <w:rPr>
          <w:rFonts w:ascii="Times New Roman" w:hAnsi="Times New Roman" w:cs="Times New Roman"/>
          <w:sz w:val="28"/>
          <w:szCs w:val="28"/>
        </w:rPr>
        <w:outlineLvl w:val="1"/>
      </w:pPr>
      <w:r/>
      <w:bookmarkStart w:id="154" w:name="_Toc41474137"/>
      <w:r/>
      <w:bookmarkStart w:id="155" w:name="_Toc112328592"/>
      <w:r/>
      <w:bookmarkStart w:id="156" w:name="_Toc124499128"/>
      <w:r/>
      <w:bookmarkStart w:id="157" w:name="Меры_при_обесточ_ЭУ_под_напряж_15_3"/>
      <w:r>
        <w:rPr>
          <w:rFonts w:ascii="Times New Roman" w:hAnsi="Times New Roman" w:cs="Times New Roman"/>
          <w:b/>
          <w:sz w:val="28"/>
          <w:szCs w:val="28"/>
        </w:rPr>
        <w:t xml:space="preserve">Меры безопасности при обесточивании (отключении) электроустановок, находящихся под напряжением при возникновении пожара в жилом секторе</w:t>
      </w:r>
      <w:bookmarkEnd w:id="154"/>
      <w:r/>
      <w:bookmarkEnd w:id="155"/>
      <w:r/>
      <w:bookmarkEnd w:id="156"/>
      <w:r/>
      <w:r>
        <w:rPr>
          <w:rFonts w:ascii="Times New Roman" w:hAnsi="Times New Roman" w:cs="Times New Roman"/>
          <w:sz w:val="28"/>
          <w:szCs w:val="28"/>
        </w:rPr>
      </w:r>
    </w:p>
    <w:p>
      <w:pPr>
        <w:pStyle w:val="1142"/>
        <w:ind w:left="709"/>
        <w:jc w:val="both"/>
        <w:tabs>
          <w:tab w:val="left" w:pos="1418" w:leader="none"/>
        </w:tabs>
        <w:rPr>
          <w:rFonts w:ascii="Times New Roman" w:hAnsi="Times New Roman" w:cs="Times New Roman"/>
          <w:sz w:val="28"/>
          <w:szCs w:val="28"/>
        </w:rPr>
        <w:outlineLvl w:val="1"/>
      </w:pPr>
      <w:r>
        <w:rPr>
          <w:rFonts w:ascii="Times New Roman" w:hAnsi="Times New Roman" w:cs="Times New Roman"/>
          <w:sz w:val="28"/>
          <w:szCs w:val="28"/>
        </w:rPr>
      </w:r>
      <w:r>
        <w:rPr>
          <w:rFonts w:ascii="Times New Roman" w:hAnsi="Times New Roman" w:cs="Times New Roman"/>
          <w:sz w:val="28"/>
          <w:szCs w:val="28"/>
        </w:rPr>
      </w:r>
    </w:p>
    <w:p>
      <w:pPr>
        <w:pStyle w:val="1142"/>
        <w:numPr>
          <w:ilvl w:val="2"/>
          <w:numId w:val="86"/>
        </w:numPr>
        <w:ind w:left="0" w:firstLine="709"/>
        <w:jc w:val="both"/>
        <w:shd w:val="clear" w:color="auto" w:fill="ffffff"/>
        <w:tabs>
          <w:tab w:val="left" w:pos="1701" w:leader="none"/>
        </w:tabs>
        <w:rPr>
          <w:rFonts w:ascii="Times New Roman" w:hAnsi="Times New Roman" w:cs="Times New Roman"/>
          <w:sz w:val="28"/>
          <w:szCs w:val="28"/>
        </w:rPr>
      </w:pPr>
      <w:r/>
      <w:bookmarkStart w:id="158" w:name="_Toc41474138"/>
      <w:r/>
      <w:bookmarkEnd w:id="157"/>
      <w:r>
        <w:rPr>
          <w:rFonts w:ascii="Times New Roman" w:hAnsi="Times New Roman" w:cs="Times New Roman"/>
          <w:sz w:val="28"/>
          <w:szCs w:val="28"/>
        </w:rPr>
        <w:t xml:space="preserve">Токоведущие части электроустановок, находящиеся под напряжением, отключаются (обесточ</w:t>
      </w:r>
      <w:r>
        <w:rPr>
          <w:rFonts w:ascii="Times New Roman" w:hAnsi="Times New Roman" w:cs="Times New Roman"/>
          <w:sz w:val="28"/>
          <w:szCs w:val="28"/>
        </w:rPr>
        <w:t xml:space="preserve">иваются) и заземляются при пожаре работниками, эксплуатирующими электроустановку из числа оперативного или оперативно-ремонтного персонала, имеющими соответствующую квалификацию и допуск к работе, самостоятельно или по указанию руководителя тушения пожара.</w:t>
      </w:r>
      <w:bookmarkEnd w:id="158"/>
      <w:r/>
      <w:r>
        <w:rPr>
          <w:rFonts w:ascii="Times New Roman" w:hAnsi="Times New Roman" w:cs="Times New Roman"/>
          <w:sz w:val="28"/>
          <w:szCs w:val="28"/>
        </w:rPr>
      </w:r>
    </w:p>
    <w:p>
      <w:pPr>
        <w:pStyle w:val="1142"/>
        <w:numPr>
          <w:ilvl w:val="2"/>
          <w:numId w:val="86"/>
        </w:numPr>
        <w:ind w:left="0" w:firstLine="709"/>
        <w:jc w:val="both"/>
        <w:shd w:val="clear" w:color="auto" w:fill="ffffff"/>
        <w:tabs>
          <w:tab w:val="left" w:pos="1701" w:leader="none"/>
        </w:tabs>
        <w:rPr>
          <w:rFonts w:ascii="Times New Roman" w:hAnsi="Times New Roman" w:cs="Times New Roman"/>
          <w:sz w:val="28"/>
          <w:szCs w:val="28"/>
        </w:rPr>
      </w:pPr>
      <w:r/>
      <w:bookmarkStart w:id="159" w:name="_Toc41474139"/>
      <w:r>
        <w:rPr>
          <w:rFonts w:ascii="Times New Roman" w:hAnsi="Times New Roman" w:cs="Times New Roman"/>
          <w:sz w:val="28"/>
          <w:szCs w:val="28"/>
        </w:rPr>
        <w:t xml:space="preserve">Электрические сети и установки под напряжением выше 0,4 кВ отключают работники эксплуатирующей организации с выдачей письменного разрешения (допуска) к тушению пожара.</w:t>
      </w:r>
      <w:r>
        <w:rPr>
          <w:rFonts w:ascii="Times New Roman" w:hAnsi="Times New Roman" w:cs="Times New Roman"/>
          <w:sz w:val="28"/>
          <w:szCs w:val="28"/>
        </w:rPr>
      </w:r>
    </w:p>
    <w:p>
      <w:pPr>
        <w:pStyle w:val="1142"/>
        <w:numPr>
          <w:ilvl w:val="2"/>
          <w:numId w:val="8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коммуникационных коллекторах и кабельных сооружениях, не находящихся </w:t>
      </w:r>
      <w:r>
        <w:rPr>
          <w:rFonts w:ascii="Times New Roman" w:hAnsi="Times New Roman" w:cs="Times New Roman"/>
          <w:sz w:val="28"/>
          <w:szCs w:val="28"/>
        </w:rPr>
        <w:t xml:space="preserve">на балансе Филиала, электрические сети и установки под напряжением выше 0,4 кВ отключают работники эксплуатирующей организации с выдачей письменного уведомления представителю владельца (собственника) коммуникационного коллектора или кабельного сооружения, </w:t>
      </w:r>
      <w:r>
        <w:rPr>
          <w:rFonts w:ascii="Times New Roman" w:hAnsi="Times New Roman" w:cs="Times New Roman"/>
          <w:sz w:val="28"/>
          <w:szCs w:val="28"/>
        </w:rPr>
        <w:t xml:space="preserve">для дальнейшей выдачи владельцем (собственником) разрешения (допуска) на тушение пожара подразделениям пожарной охраны МЧС России.</w:t>
      </w:r>
      <w:r>
        <w:rPr>
          <w:rFonts w:ascii="Times New Roman" w:hAnsi="Times New Roman" w:cs="Times New Roman"/>
          <w:sz w:val="28"/>
          <w:szCs w:val="28"/>
        </w:rPr>
      </w:r>
    </w:p>
    <w:p>
      <w:pPr>
        <w:pStyle w:val="1142"/>
        <w:numPr>
          <w:ilvl w:val="2"/>
          <w:numId w:val="8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Пожарные автомобили и пожарные стволы должны быть заземлены при подаче пены или воды на тушение электроустановки личным составом подразделений пожарной охраны, участвующим в тушении пожара.</w:t>
      </w:r>
      <w:bookmarkEnd w:id="159"/>
      <w:r/>
      <w:r>
        <w:rPr>
          <w:rFonts w:ascii="Times New Roman" w:hAnsi="Times New Roman" w:cs="Times New Roman"/>
          <w:sz w:val="28"/>
          <w:szCs w:val="28"/>
        </w:rPr>
      </w:r>
    </w:p>
    <w:p>
      <w:pPr>
        <w:pStyle w:val="1142"/>
        <w:numPr>
          <w:ilvl w:val="2"/>
          <w:numId w:val="86"/>
        </w:numPr>
        <w:ind w:left="0" w:firstLine="709"/>
        <w:jc w:val="both"/>
        <w:shd w:val="clear" w:color="auto" w:fill="ffffff"/>
        <w:tabs>
          <w:tab w:val="left" w:pos="1701" w:leader="none"/>
        </w:tabs>
        <w:rPr>
          <w:rFonts w:ascii="Times New Roman" w:hAnsi="Times New Roman" w:cs="Times New Roman"/>
          <w:sz w:val="28"/>
          <w:szCs w:val="28"/>
        </w:rPr>
      </w:pPr>
      <w:r/>
      <w:bookmarkStart w:id="160" w:name="_Toc41474140"/>
      <w:r>
        <w:rPr>
          <w:rFonts w:ascii="Times New Roman" w:hAnsi="Times New Roman" w:cs="Times New Roman"/>
          <w:sz w:val="28"/>
          <w:szCs w:val="28"/>
        </w:rPr>
        <w:t xml:space="preserve">Электрические провода и иные токоведущие части, находящиеся под напряжением до 0,4 кВ включительно, отключаются по указанию руководителя тушения пожара в случаях, если они:</w:t>
      </w:r>
      <w:bookmarkEnd w:id="160"/>
      <w:r/>
      <w:r>
        <w:rPr>
          <w:rFonts w:ascii="Times New Roman" w:hAnsi="Times New Roman" w:cs="Times New Roman"/>
          <w:sz w:val="28"/>
          <w:szCs w:val="28"/>
        </w:rPr>
      </w:r>
    </w:p>
    <w:p>
      <w:pPr>
        <w:pStyle w:val="1142"/>
        <w:numPr>
          <w:ilvl w:val="0"/>
          <w:numId w:val="43"/>
        </w:numPr>
        <w:ind w:left="0" w:firstLine="709"/>
        <w:jc w:val="both"/>
        <w:shd w:val="clear" w:color="auto" w:fill="ffffff"/>
        <w:tabs>
          <w:tab w:val="left" w:pos="993" w:leader="none"/>
          <w:tab w:val="left" w:pos="1701" w:leader="none"/>
        </w:tabs>
        <w:rPr>
          <w:rFonts w:ascii="Times New Roman" w:hAnsi="Times New Roman" w:cs="Times New Roman"/>
          <w:sz w:val="28"/>
          <w:szCs w:val="28"/>
        </w:rPr>
      </w:pPr>
      <w:r/>
      <w:bookmarkStart w:id="161" w:name="_Toc41474141"/>
      <w:r>
        <w:rPr>
          <w:rFonts w:ascii="Times New Roman" w:hAnsi="Times New Roman" w:cs="Times New Roman"/>
          <w:sz w:val="28"/>
          <w:szCs w:val="28"/>
        </w:rPr>
        <w:t xml:space="preserve">опасны для людей и участников тушения пожара и проведения аварийно-спасательных работ;</w:t>
      </w:r>
      <w:bookmarkEnd w:id="161"/>
      <w:r/>
      <w:r>
        <w:rPr>
          <w:rFonts w:ascii="Times New Roman" w:hAnsi="Times New Roman" w:cs="Times New Roman"/>
          <w:sz w:val="28"/>
          <w:szCs w:val="28"/>
        </w:rPr>
      </w:r>
    </w:p>
    <w:p>
      <w:pPr>
        <w:pStyle w:val="1142"/>
        <w:numPr>
          <w:ilvl w:val="0"/>
          <w:numId w:val="43"/>
        </w:numPr>
        <w:ind w:left="0" w:firstLine="709"/>
        <w:jc w:val="both"/>
        <w:shd w:val="clear" w:color="auto" w:fill="ffffff"/>
        <w:tabs>
          <w:tab w:val="left" w:pos="993" w:leader="none"/>
          <w:tab w:val="left" w:pos="1701" w:leader="none"/>
        </w:tabs>
        <w:rPr>
          <w:rFonts w:ascii="Times New Roman" w:hAnsi="Times New Roman" w:cs="Times New Roman"/>
          <w:sz w:val="28"/>
          <w:szCs w:val="28"/>
        </w:rPr>
      </w:pPr>
      <w:r/>
      <w:bookmarkStart w:id="162" w:name="_Toc41474142"/>
      <w:r>
        <w:rPr>
          <w:rFonts w:ascii="Times New Roman" w:hAnsi="Times New Roman" w:cs="Times New Roman"/>
          <w:sz w:val="28"/>
          <w:szCs w:val="28"/>
        </w:rPr>
        <w:t xml:space="preserve">создают опасность возникновения новых очагов пожара.</w:t>
      </w:r>
      <w:bookmarkEnd w:id="162"/>
      <w:r/>
      <w:r>
        <w:rPr>
          <w:rFonts w:ascii="Times New Roman" w:hAnsi="Times New Roman" w:cs="Times New Roman"/>
          <w:sz w:val="28"/>
          <w:szCs w:val="28"/>
        </w:rPr>
      </w:r>
    </w:p>
    <w:p>
      <w:pPr>
        <w:ind w:firstLine="709"/>
        <w:jc w:val="both"/>
        <w:shd w:val="clear" w:color="auto" w:fill="ffffff"/>
        <w:tabs>
          <w:tab w:val="left" w:pos="1701" w:leader="none"/>
        </w:tabs>
        <w:rPr>
          <w:sz w:val="28"/>
          <w:szCs w:val="28"/>
        </w:rPr>
      </w:pPr>
      <w:r/>
      <w:bookmarkStart w:id="163" w:name="_Toc41474144"/>
      <w:r>
        <w:rPr>
          <w:sz w:val="28"/>
          <w:szCs w:val="28"/>
        </w:rPr>
        <w:t xml:space="preserve">Отключение токоведущих частей осуществляется работниками эксплуатирующей организации,</w:t>
      </w:r>
      <w:r>
        <w:rPr>
          <w:i/>
          <w:sz w:val="28"/>
          <w:szCs w:val="28"/>
        </w:rPr>
        <w:t xml:space="preserve"> </w:t>
      </w:r>
      <w:r>
        <w:rPr>
          <w:sz w:val="28"/>
          <w:szCs w:val="28"/>
        </w:rPr>
        <w:t xml:space="preserve">имеющими соответствующую квалификацию и допуск к работе в электроустановке.</w:t>
      </w:r>
      <w:r>
        <w:rPr>
          <w:sz w:val="28"/>
          <w:szCs w:val="28"/>
        </w:rPr>
      </w:r>
    </w:p>
    <w:p>
      <w:pPr>
        <w:pStyle w:val="1142"/>
        <w:numPr>
          <w:ilvl w:val="2"/>
          <w:numId w:val="8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Отключение электропроводов путем резки допускается при фазном напряжении сети не выше 220 В и только тогда, когда иными способами нельзя обесточить сеть.</w:t>
      </w:r>
      <w:bookmarkStart w:id="164" w:name="_Toc41474145"/>
      <w:r/>
      <w:bookmarkEnd w:id="163"/>
      <w:r/>
      <w:r>
        <w:rPr>
          <w:rFonts w:ascii="Times New Roman" w:hAnsi="Times New Roman" w:cs="Times New Roman"/>
          <w:sz w:val="28"/>
          <w:szCs w:val="28"/>
        </w:rPr>
      </w:r>
    </w:p>
    <w:p>
      <w:pPr>
        <w:pStyle w:val="1142"/>
        <w:numPr>
          <w:ilvl w:val="2"/>
          <w:numId w:val="86"/>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 случае резки проводов линий электропередачи или связи, опоры на которых проводится резка, во избежание и</w:t>
      </w:r>
      <w:r>
        <w:rPr>
          <w:rFonts w:ascii="Times New Roman" w:hAnsi="Times New Roman" w:cs="Times New Roman"/>
          <w:sz w:val="28"/>
          <w:szCs w:val="28"/>
        </w:rPr>
        <w:t xml:space="preserve">х падения из-за одностороннего или нерасчетного тяжения должны быть предварительно укреплены, установлена и огорожена опасная зона возможного падения опоры, в которой запрещено нахождение людей. Резка провода с подъемом человека на такую опору запрещается.</w:t>
      </w:r>
      <w:bookmarkEnd w:id="164"/>
      <w:r/>
      <w:r>
        <w:rPr>
          <w:rFonts w:ascii="Times New Roman" w:hAnsi="Times New Roman" w:cs="Times New Roman"/>
          <w:sz w:val="28"/>
          <w:szCs w:val="28"/>
        </w:rPr>
      </w:r>
    </w:p>
    <w:p>
      <w:pPr>
        <w:pStyle w:val="1142"/>
        <w:ind w:left="0" w:firstLine="709"/>
        <w:jc w:val="both"/>
        <w:shd w:val="clear" w:color="auto" w:fill="ffffff"/>
        <w:tabs>
          <w:tab w:val="left" w:pos="0" w:leader="none"/>
          <w:tab w:val="left" w:pos="1701" w:leader="none"/>
        </w:tabs>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p>
    <w:p>
      <w:pPr>
        <w:pStyle w:val="1142"/>
        <w:numPr>
          <w:ilvl w:val="1"/>
          <w:numId w:val="86"/>
        </w:numPr>
        <w:ind w:left="0" w:firstLine="709"/>
        <w:jc w:val="both"/>
        <w:tabs>
          <w:tab w:val="left" w:pos="1418" w:leader="none"/>
        </w:tabs>
        <w:rPr>
          <w:rFonts w:ascii="Times New Roman" w:hAnsi="Times New Roman" w:cs="Times New Roman"/>
          <w:b/>
          <w:sz w:val="28"/>
          <w:szCs w:val="28"/>
        </w:rPr>
        <w:outlineLvl w:val="1"/>
      </w:pPr>
      <w:r/>
      <w:bookmarkStart w:id="165" w:name="Дейстивия_персонала_при_пожаре_15_4"/>
      <w:r/>
      <w:bookmarkStart w:id="166" w:name="_Toc112328593"/>
      <w:r/>
      <w:bookmarkStart w:id="167" w:name="_Toc124499129"/>
      <w:r>
        <w:rPr>
          <w:rFonts w:ascii="Times New Roman" w:hAnsi="Times New Roman" w:cs="Times New Roman"/>
          <w:b/>
          <w:sz w:val="28"/>
          <w:szCs w:val="28"/>
        </w:rPr>
        <w:t xml:space="preserve">Действия персонала при возникновении пожара</w:t>
      </w:r>
      <w:bookmarkEnd w:id="165"/>
      <w:r/>
      <w:bookmarkEnd w:id="166"/>
      <w:r/>
      <w:bookmarkEnd w:id="167"/>
      <w:r>
        <w:rPr>
          <w:rFonts w:ascii="Times New Roman" w:hAnsi="Times New Roman" w:cs="Times New Roman"/>
          <w:b/>
          <w:sz w:val="28"/>
          <w:szCs w:val="28"/>
        </w:rPr>
        <w:t xml:space="preserve"> или обнаружении признаков горения</w:t>
      </w:r>
      <w:r>
        <w:rPr>
          <w:rFonts w:ascii="Times New Roman" w:hAnsi="Times New Roman" w:cs="Times New Roman"/>
          <w:b/>
          <w:sz w:val="28"/>
          <w:szCs w:val="28"/>
        </w:rPr>
      </w:r>
    </w:p>
    <w:p>
      <w:pPr>
        <w:pStyle w:val="1142"/>
        <w:ind w:left="1429"/>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p>
    <w:p>
      <w:pPr>
        <w:pStyle w:val="1142"/>
        <w:numPr>
          <w:ilvl w:val="2"/>
          <w:numId w:val="8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Немедленно вызвать пожарную охрану по телефону, указав наименование объекта защиты, адрес места его расположения, место возникновения пожара, а также свою фамилию.</w:t>
      </w:r>
      <w:r>
        <w:rPr>
          <w:rFonts w:ascii="Times New Roman" w:hAnsi="Times New Roman" w:cs="Times New Roman"/>
          <w:sz w:val="28"/>
          <w:szCs w:val="28"/>
        </w:rPr>
      </w:r>
    </w:p>
    <w:p>
      <w:pPr>
        <w:pStyle w:val="1142"/>
        <w:numPr>
          <w:ilvl w:val="2"/>
          <w:numId w:val="8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Принять посильные меры по эвакуации людей, определив место возникновения пожара, оценив обстановку (площадь возгорания, объем масла в горящем маслонаполненном оборудовании и т.д.).</w:t>
      </w:r>
      <w:r>
        <w:rPr>
          <w:rFonts w:ascii="Times New Roman" w:hAnsi="Times New Roman" w:cs="Times New Roman"/>
          <w:sz w:val="28"/>
          <w:szCs w:val="28"/>
        </w:rPr>
      </w:r>
    </w:p>
    <w:p>
      <w:pPr>
        <w:pStyle w:val="1142"/>
        <w:numPr>
          <w:ilvl w:val="2"/>
          <w:numId w:val="87"/>
        </w:numPr>
        <w:ind w:left="0" w:firstLine="709"/>
        <w:jc w:val="both"/>
        <w:shd w:val="clear" w:color="auto" w:fill="ffffff"/>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Сообщить о пожаре лицам в соответствии с действующей схемой передачи оперативной информации, при условии отсутствия угрозы жизни и здоровью людей принять меры по тушению (локализации) пожара имеющимися первичными средствами пожаротушения.</w:t>
      </w:r>
      <w:r>
        <w:rPr>
          <w:rFonts w:ascii="Times New Roman" w:hAnsi="Times New Roman" w:cs="Times New Roman"/>
          <w:sz w:val="28"/>
          <w:szCs w:val="28"/>
        </w:rPr>
      </w:r>
    </w:p>
    <w:p>
      <w:pPr>
        <w:pStyle w:val="1142"/>
        <w:numPr>
          <w:ilvl w:val="2"/>
          <w:numId w:val="8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До прибытия </w:t>
      </w:r>
      <w:r>
        <w:rPr>
          <w:rFonts w:ascii="Times New Roman" w:hAnsi="Times New Roman" w:cs="Times New Roman"/>
          <w:sz w:val="28"/>
          <w:szCs w:val="28"/>
          <w:shd w:val="clear" w:color="auto" w:fill="ffffff"/>
        </w:rPr>
        <w:t xml:space="preserve">подразделения пожарной охраны</w:t>
      </w:r>
      <w:r>
        <w:rPr>
          <w:rFonts w:ascii="Times New Roman" w:hAnsi="Times New Roman" w:cs="Times New Roman"/>
          <w:sz w:val="28"/>
          <w:szCs w:val="28"/>
        </w:rPr>
        <w:t xml:space="preserve"> находящийся на месте пожара персонал обязан организовать:</w:t>
      </w:r>
      <w:r>
        <w:rPr>
          <w:rFonts w:ascii="Times New Roman" w:hAnsi="Times New Roman" w:cs="Times New Roman"/>
          <w:sz w:val="28"/>
          <w:szCs w:val="28"/>
        </w:rPr>
      </w:r>
    </w:p>
    <w:p>
      <w:pPr>
        <w:pStyle w:val="1142"/>
        <w:numPr>
          <w:ilvl w:val="0"/>
          <w:numId w:val="52"/>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Выполнение операций по отключению энергетического оборудования, находящегося в зоне пожара (кроме оборудования, напряжением до 0,4 кВ, которое по условиям технологии производства в процессе ликвидации пожара не может быть обесточено).</w:t>
      </w:r>
      <w:r>
        <w:rPr>
          <w:rFonts w:ascii="Times New Roman" w:hAnsi="Times New Roman" w:cs="Times New Roman"/>
          <w:sz w:val="28"/>
          <w:szCs w:val="28"/>
        </w:rPr>
      </w:r>
    </w:p>
    <w:p>
      <w:pPr>
        <w:pStyle w:val="1252"/>
        <w:numPr>
          <w:ilvl w:val="0"/>
          <w:numId w:val="52"/>
        </w:numPr>
        <w:ind w:left="0" w:firstLine="709"/>
        <w:jc w:val="both"/>
        <w:tabs>
          <w:tab w:val="left" w:pos="1701" w:leader="none"/>
        </w:tabs>
        <w:rPr>
          <w:szCs w:val="28"/>
          <w:lang w:val="ru-RU"/>
        </w:rPr>
      </w:pPr>
      <w:r>
        <w:rPr>
          <w:szCs w:val="28"/>
          <w:lang w:val="ru-RU"/>
        </w:rPr>
        <w:t xml:space="preserve">Удаление с места пожара всех посторонних лиц.</w:t>
      </w:r>
      <w:r>
        <w:rPr>
          <w:szCs w:val="28"/>
          <w:lang w:val="ru-RU"/>
        </w:rPr>
      </w:r>
    </w:p>
    <w:p>
      <w:pPr>
        <w:pStyle w:val="1252"/>
        <w:numPr>
          <w:ilvl w:val="0"/>
          <w:numId w:val="52"/>
        </w:numPr>
        <w:ind w:left="0" w:firstLine="709"/>
        <w:jc w:val="both"/>
        <w:tabs>
          <w:tab w:val="left" w:pos="1701" w:leader="none"/>
        </w:tabs>
        <w:rPr>
          <w:szCs w:val="28"/>
          <w:lang w:val="ru-RU"/>
        </w:rPr>
      </w:pPr>
      <w:r>
        <w:rPr>
          <w:szCs w:val="28"/>
          <w:lang w:val="ru-RU"/>
        </w:rPr>
        <w:t xml:space="preserve">Установление места возникновения пожара, возможные пути его распространения и образования новых очагов горения (тления).</w:t>
      </w:r>
      <w:r>
        <w:rPr>
          <w:szCs w:val="28"/>
          <w:lang w:val="ru-RU"/>
        </w:rPr>
      </w:r>
    </w:p>
    <w:p>
      <w:pPr>
        <w:pStyle w:val="1252"/>
        <w:numPr>
          <w:ilvl w:val="0"/>
          <w:numId w:val="52"/>
        </w:numPr>
        <w:ind w:left="0" w:firstLine="709"/>
        <w:jc w:val="both"/>
        <w:tabs>
          <w:tab w:val="left" w:pos="1701" w:leader="none"/>
        </w:tabs>
        <w:rPr>
          <w:szCs w:val="28"/>
          <w:lang w:val="ru-RU"/>
        </w:rPr>
      </w:pPr>
      <w:r>
        <w:rPr>
          <w:szCs w:val="28"/>
          <w:lang w:val="ru-RU"/>
        </w:rPr>
        <w:t xml:space="preserve">Проверку включения системы автоматического пожаротушения (при наличии), а в случае ее отказа включить вручную.</w:t>
      </w:r>
      <w:r>
        <w:rPr>
          <w:szCs w:val="28"/>
          <w:lang w:val="ru-RU"/>
        </w:rPr>
      </w:r>
    </w:p>
    <w:p>
      <w:pPr>
        <w:pStyle w:val="1252"/>
        <w:numPr>
          <w:ilvl w:val="0"/>
          <w:numId w:val="52"/>
        </w:numPr>
        <w:ind w:left="0" w:firstLine="709"/>
        <w:jc w:val="both"/>
        <w:tabs>
          <w:tab w:val="left" w:pos="1701" w:leader="none"/>
        </w:tabs>
        <w:rPr>
          <w:szCs w:val="28"/>
          <w:lang w:val="ru-RU"/>
        </w:rPr>
      </w:pPr>
      <w:r>
        <w:rPr>
          <w:szCs w:val="28"/>
          <w:lang w:val="ru-RU"/>
        </w:rPr>
        <w:t xml:space="preserve">Выполнение подготовительных работ с целью обеспечения эффективного тушения пожара.</w:t>
      </w:r>
      <w:r>
        <w:rPr>
          <w:szCs w:val="28"/>
          <w:lang w:val="ru-RU"/>
        </w:rPr>
      </w:r>
    </w:p>
    <w:p>
      <w:pPr>
        <w:pStyle w:val="1252"/>
        <w:numPr>
          <w:ilvl w:val="0"/>
          <w:numId w:val="52"/>
        </w:numPr>
        <w:ind w:left="0" w:firstLine="709"/>
        <w:jc w:val="both"/>
        <w:tabs>
          <w:tab w:val="left" w:pos="1701" w:leader="none"/>
        </w:tabs>
        <w:rPr>
          <w:szCs w:val="28"/>
          <w:lang w:val="ru-RU"/>
        </w:rPr>
      </w:pPr>
      <w:r>
        <w:rPr>
          <w:szCs w:val="28"/>
          <w:lang w:val="ru-RU"/>
        </w:rPr>
        <w:t xml:space="preserve">Тушение (локализацию) пожара персоналом и имеющимися средствами пожаротушения (при возможности).</w:t>
      </w:r>
      <w:r>
        <w:rPr>
          <w:szCs w:val="28"/>
          <w:lang w:val="ru-RU"/>
        </w:rPr>
      </w:r>
    </w:p>
    <w:p>
      <w:pPr>
        <w:pStyle w:val="1252"/>
        <w:numPr>
          <w:ilvl w:val="0"/>
          <w:numId w:val="52"/>
        </w:numPr>
        <w:ind w:left="0" w:firstLine="709"/>
        <w:jc w:val="both"/>
        <w:tabs>
          <w:tab w:val="left" w:pos="1701" w:leader="none"/>
        </w:tabs>
        <w:rPr>
          <w:szCs w:val="28"/>
          <w:lang w:val="ru-RU"/>
        </w:rPr>
      </w:pPr>
      <w:r>
        <w:rPr>
          <w:szCs w:val="28"/>
          <w:lang w:val="ru-RU"/>
        </w:rPr>
        <w:t xml:space="preserve">Встречу </w:t>
      </w:r>
      <w:r>
        <w:rPr>
          <w:szCs w:val="28"/>
          <w:shd w:val="clear" w:color="auto" w:fill="ffffff"/>
          <w:lang w:val="ru-RU"/>
        </w:rPr>
        <w:t xml:space="preserve">подразделений пожарной охраны</w:t>
      </w:r>
      <w:r>
        <w:rPr>
          <w:szCs w:val="28"/>
          <w:lang w:val="ru-RU"/>
        </w:rPr>
        <w:t xml:space="preserve"> лицом, хорошо знающим безопасные маршруты движения, расположение водоисточников, места заземления пожарной техники.</w:t>
      </w:r>
      <w:r>
        <w:rPr>
          <w:szCs w:val="28"/>
          <w:lang w:val="ru-RU"/>
        </w:rPr>
      </w:r>
    </w:p>
    <w:p>
      <w:pPr>
        <w:pStyle w:val="1142"/>
        <w:numPr>
          <w:ilvl w:val="2"/>
          <w:numId w:val="87"/>
        </w:numPr>
        <w:ind w:left="0" w:firstLine="709"/>
        <w:jc w:val="both"/>
        <w:tabs>
          <w:tab w:val="left" w:pos="1701" w:leader="none"/>
        </w:tabs>
        <w:rPr>
          <w:rFonts w:ascii="Times New Roman" w:hAnsi="Times New Roman" w:cs="Times New Roman"/>
          <w:bCs/>
          <w:sz w:val="28"/>
          <w:szCs w:val="28"/>
        </w:rPr>
      </w:pPr>
      <w:r>
        <w:rPr>
          <w:rFonts w:ascii="Times New Roman" w:hAnsi="Times New Roman" w:cs="Times New Roman"/>
          <w:sz w:val="28"/>
          <w:szCs w:val="28"/>
        </w:rPr>
        <w:t xml:space="preserve">До прибытия подразделения пожарной охраны также необходимо принять меры по созданию безопасных условий работы:</w:t>
      </w:r>
      <w:r>
        <w:rPr>
          <w:rFonts w:ascii="Times New Roman" w:hAnsi="Times New Roman" w:cs="Times New Roman"/>
          <w:bCs/>
          <w:sz w:val="28"/>
          <w:szCs w:val="28"/>
        </w:rPr>
      </w:r>
    </w:p>
    <w:p>
      <w:pPr>
        <w:pStyle w:val="1142"/>
        <w:numPr>
          <w:ilvl w:val="0"/>
          <w:numId w:val="5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Подготовить переносные заземления для пожарных стволов и насосов автомобилей.</w:t>
      </w:r>
      <w:r>
        <w:rPr>
          <w:rFonts w:ascii="Times New Roman" w:hAnsi="Times New Roman" w:cs="Times New Roman"/>
          <w:sz w:val="28"/>
          <w:szCs w:val="28"/>
        </w:rPr>
      </w:r>
    </w:p>
    <w:p>
      <w:pPr>
        <w:pStyle w:val="1142"/>
        <w:numPr>
          <w:ilvl w:val="0"/>
          <w:numId w:val="5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Подготовить диэлектрические боты и диэлектрические перчатки.</w:t>
      </w:r>
      <w:r>
        <w:rPr>
          <w:rFonts w:ascii="Times New Roman" w:hAnsi="Times New Roman" w:cs="Times New Roman"/>
          <w:sz w:val="28"/>
          <w:szCs w:val="28"/>
        </w:rPr>
      </w:r>
    </w:p>
    <w:p>
      <w:pPr>
        <w:pStyle w:val="1142"/>
        <w:numPr>
          <w:ilvl w:val="0"/>
          <w:numId w:val="5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При организации тушении пожаров в коллекторах и кабельных сооружениях, провести выверку кабельных линий (не находящихся на балансе Филиала) по имеющейся информации (схемам, перечням кабельных линий и др.).</w:t>
      </w:r>
      <w:r>
        <w:rPr>
          <w:rFonts w:ascii="Times New Roman" w:hAnsi="Times New Roman" w:cs="Times New Roman"/>
          <w:sz w:val="28"/>
          <w:szCs w:val="28"/>
        </w:rPr>
      </w:r>
    </w:p>
    <w:p>
      <w:pPr>
        <w:pStyle w:val="1142"/>
        <w:numPr>
          <w:ilvl w:val="0"/>
          <w:numId w:val="53"/>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Заполнить бланк допуска на тушение пожара по форме </w:t>
      </w:r>
      <w:hyperlink w:tooltip="#_Приложение_5_к" w:anchor="_Приложение_5_к" w:history="1">
        <w:r>
          <w:rPr>
            <w:rStyle w:val="1111"/>
            <w:rFonts w:ascii="Times New Roman" w:hAnsi="Times New Roman"/>
            <w:sz w:val="28"/>
            <w:szCs w:val="28"/>
          </w:rPr>
          <w:t xml:space="preserve">Прилож</w:t>
        </w:r>
        <w:bookmarkStart w:id="168" w:name="_Hlt185322403"/>
        <w:bookmarkStart w:id="169" w:name="_Hlt185322404"/>
        <w:r>
          <w:rPr>
            <w:rStyle w:val="1111"/>
            <w:rFonts w:ascii="Times New Roman" w:hAnsi="Times New Roman"/>
            <w:sz w:val="28"/>
            <w:szCs w:val="28"/>
          </w:rPr>
          <w:t xml:space="preserve">е</w:t>
        </w:r>
        <w:bookmarkEnd w:id="168"/>
        <w:bookmarkEnd w:id="169"/>
        <w:r>
          <w:rPr>
            <w:rStyle w:val="1111"/>
            <w:rFonts w:ascii="Times New Roman" w:hAnsi="Times New Roman"/>
            <w:sz w:val="28"/>
            <w:szCs w:val="28"/>
          </w:rPr>
          <w:t xml:space="preserve">ния В</w:t>
        </w:r>
      </w:hyperlink>
      <w:r>
        <w:rPr>
          <w:rStyle w:val="1111"/>
          <w:rFonts w:ascii="Times New Roman" w:hAnsi="Times New Roman"/>
          <w:color w:val="ff0000"/>
          <w:sz w:val="28"/>
          <w:szCs w:val="28"/>
          <w:u w:val="none"/>
        </w:rPr>
        <w:t xml:space="preserve"> </w:t>
      </w:r>
      <w:r>
        <w:rPr>
          <w:rStyle w:val="1111"/>
          <w:rFonts w:ascii="Times New Roman" w:hAnsi="Times New Roman"/>
          <w:color w:val="000000"/>
          <w:sz w:val="28"/>
          <w:szCs w:val="28"/>
          <w:u w:val="none"/>
        </w:rPr>
        <w:t xml:space="preserve">к </w:t>
      </w:r>
      <w:r>
        <w:rPr>
          <w:rFonts w:ascii="Times New Roman" w:hAnsi="Times New Roman" w:cs="Times New Roman"/>
          <w:sz w:val="28"/>
          <w:szCs w:val="28"/>
        </w:rPr>
        <w:t xml:space="preserve">настоящим Руководящим указаниям, а в случае допуска на оборудование, находящееся под напряжением до 0,4 кВ – по форме </w:t>
      </w:r>
      <w:hyperlink w:tooltip="#_Приложение_23_(рекомендуемое)" w:anchor="_Приложение_23_(рекомендуемое)" w:history="1">
        <w:r>
          <w:rPr>
            <w:rStyle w:val="1111"/>
            <w:rFonts w:ascii="Times New Roman" w:hAnsi="Times New Roman"/>
            <w:sz w:val="28"/>
            <w:szCs w:val="28"/>
          </w:rPr>
          <w:t xml:space="preserve">Приложени</w:t>
        </w:r>
        <w:bookmarkStart w:id="170" w:name="_Hlt185327729"/>
        <w:r>
          <w:rPr>
            <w:rStyle w:val="1111"/>
            <w:rFonts w:ascii="Times New Roman" w:hAnsi="Times New Roman"/>
            <w:sz w:val="28"/>
            <w:szCs w:val="28"/>
          </w:rPr>
          <w:t xml:space="preserve">я</w:t>
        </w:r>
        <w:bookmarkEnd w:id="170"/>
        <w:r>
          <w:rPr>
            <w:rStyle w:val="1111"/>
            <w:rFonts w:ascii="Times New Roman" w:hAnsi="Times New Roman"/>
            <w:sz w:val="28"/>
            <w:szCs w:val="28"/>
          </w:rPr>
          <w:t xml:space="preserve"> Г</w:t>
        </w:r>
      </w:hyperlink>
      <w:r>
        <w:rPr>
          <w:rStyle w:val="1111"/>
          <w:rFonts w:ascii="Times New Roman" w:hAnsi="Times New Roman"/>
          <w:color w:val="ff0000"/>
          <w:sz w:val="28"/>
          <w:szCs w:val="28"/>
          <w:u w:val="none"/>
        </w:rPr>
        <w:t xml:space="preserve"> </w:t>
      </w:r>
      <w:r>
        <w:rPr>
          <w:rStyle w:val="1111"/>
          <w:rFonts w:ascii="Times New Roman" w:hAnsi="Times New Roman"/>
          <w:color w:val="000000"/>
          <w:sz w:val="28"/>
          <w:szCs w:val="28"/>
          <w:u w:val="none"/>
        </w:rPr>
        <w:t xml:space="preserve">к </w:t>
      </w:r>
      <w:r>
        <w:rPr>
          <w:rFonts w:ascii="Times New Roman" w:hAnsi="Times New Roman" w:cs="Times New Roman"/>
          <w:sz w:val="28"/>
          <w:szCs w:val="28"/>
        </w:rPr>
        <w:t xml:space="preserve">настоящим Руководящим указаниям с учетом требований ОКДПП.</w:t>
      </w:r>
      <w:r>
        <w:rPr>
          <w:rFonts w:ascii="Times New Roman" w:hAnsi="Times New Roman" w:cs="Times New Roman"/>
          <w:sz w:val="28"/>
          <w:szCs w:val="28"/>
        </w:rPr>
      </w:r>
    </w:p>
    <w:p>
      <w:pPr>
        <w:numPr>
          <w:ilvl w:val="2"/>
          <w:numId w:val="87"/>
        </w:numPr>
        <w:ind w:left="0" w:firstLine="709"/>
        <w:jc w:val="both"/>
        <w:tabs>
          <w:tab w:val="left" w:pos="990" w:leader="none"/>
          <w:tab w:val="left" w:pos="1701" w:leader="none"/>
        </w:tabs>
        <w:rPr>
          <w:sz w:val="28"/>
          <w:szCs w:val="28"/>
        </w:rPr>
      </w:pPr>
      <w:r>
        <w:rPr>
          <w:bCs/>
          <w:sz w:val="28"/>
          <w:szCs w:val="28"/>
        </w:rPr>
        <w:t xml:space="preserve">После прибытия на место пожара </w:t>
      </w:r>
      <w:r>
        <w:rPr>
          <w:bCs/>
          <w:sz w:val="28"/>
          <w:szCs w:val="28"/>
          <w:shd w:val="clear" w:color="auto" w:fill="ffffff"/>
        </w:rPr>
        <w:t xml:space="preserve">подразделения </w:t>
      </w:r>
      <w:r>
        <w:rPr>
          <w:sz w:val="28"/>
          <w:szCs w:val="28"/>
          <w:shd w:val="clear" w:color="auto" w:fill="ffffff"/>
        </w:rPr>
        <w:t xml:space="preserve">пожарной охраны </w:t>
      </w:r>
      <w:r>
        <w:rPr>
          <w:sz w:val="28"/>
          <w:szCs w:val="28"/>
        </w:rPr>
        <w:t xml:space="preserve">МЧС России</w:t>
      </w:r>
      <w:r>
        <w:rPr>
          <w:bCs/>
          <w:sz w:val="28"/>
          <w:szCs w:val="28"/>
        </w:rPr>
        <w:t xml:space="preserve">, РТП является руководитель этого подразделения. </w:t>
      </w:r>
      <w:r>
        <w:rPr>
          <w:sz w:val="28"/>
          <w:szCs w:val="28"/>
        </w:rPr>
        <w:t xml:space="preserve">РТП управляет личным составом подразделения </w:t>
      </w:r>
      <w:r>
        <w:rPr>
          <w:sz w:val="28"/>
          <w:szCs w:val="28"/>
          <w:shd w:val="clear" w:color="auto" w:fill="ffffff"/>
        </w:rPr>
        <w:t xml:space="preserve">пожарной охраны</w:t>
      </w:r>
      <w:r>
        <w:rPr>
          <w:sz w:val="28"/>
          <w:szCs w:val="28"/>
        </w:rPr>
        <w:t xml:space="preserve"> на принципах единоначалия.</w:t>
      </w:r>
      <w:r>
        <w:rPr>
          <w:sz w:val="28"/>
          <w:szCs w:val="28"/>
        </w:rPr>
      </w:r>
    </w:p>
    <w:p>
      <w:pPr>
        <w:numPr>
          <w:ilvl w:val="2"/>
          <w:numId w:val="87"/>
        </w:numPr>
        <w:ind w:left="0" w:firstLine="709"/>
        <w:jc w:val="both"/>
        <w:tabs>
          <w:tab w:val="left" w:pos="990" w:leader="none"/>
          <w:tab w:val="left" w:pos="1701" w:leader="none"/>
        </w:tabs>
        <w:rPr>
          <w:sz w:val="28"/>
          <w:szCs w:val="28"/>
        </w:rPr>
      </w:pPr>
      <w:r>
        <w:rPr>
          <w:color w:val="000000"/>
          <w:sz w:val="28"/>
          <w:szCs w:val="28"/>
        </w:rPr>
        <w:t xml:space="preserve">По прибытии подразделения пожарной охраны к месту пожара, находящемуся на месте пожара персоналу </w:t>
      </w:r>
      <w:r>
        <w:rPr>
          <w:sz w:val="28"/>
          <w:szCs w:val="28"/>
        </w:rPr>
        <w:t xml:space="preserve">Филиала</w:t>
      </w:r>
      <w:r>
        <w:rPr>
          <w:color w:val="000000"/>
          <w:sz w:val="28"/>
          <w:szCs w:val="28"/>
        </w:rPr>
        <w:t xml:space="preserve"> необходимо:</w:t>
      </w:r>
      <w:r>
        <w:rPr>
          <w:sz w:val="28"/>
          <w:szCs w:val="28"/>
        </w:rPr>
      </w:r>
    </w:p>
    <w:p>
      <w:pPr>
        <w:pStyle w:val="1142"/>
        <w:numPr>
          <w:ilvl w:val="0"/>
          <w:numId w:val="5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color w:val="000000"/>
          <w:sz w:val="28"/>
          <w:szCs w:val="28"/>
        </w:rPr>
        <w:t xml:space="preserve">Проинформировать РТП о безопасных маршрутах движения </w:t>
      </w:r>
      <w:r>
        <w:rPr>
          <w:rFonts w:ascii="Times New Roman" w:hAnsi="Times New Roman" w:cs="Times New Roman"/>
          <w:color w:val="000000"/>
          <w:sz w:val="28"/>
          <w:szCs w:val="28"/>
          <w:shd w:val="clear" w:color="auto" w:fill="ffffff"/>
        </w:rPr>
        <w:t xml:space="preserve">личного состава пожарных подразделений на позиции ствольщиков.</w:t>
      </w:r>
      <w:r>
        <w:rPr>
          <w:rFonts w:ascii="Times New Roman" w:hAnsi="Times New Roman" w:cs="Times New Roman"/>
          <w:sz w:val="28"/>
          <w:szCs w:val="28"/>
        </w:rPr>
      </w:r>
    </w:p>
    <w:p>
      <w:pPr>
        <w:pStyle w:val="1142"/>
        <w:numPr>
          <w:ilvl w:val="0"/>
          <w:numId w:val="54"/>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sz w:val="28"/>
          <w:szCs w:val="28"/>
        </w:rPr>
        <w:t xml:space="preserve">Указать </w:t>
      </w:r>
      <w:r>
        <w:rPr>
          <w:rFonts w:ascii="Times New Roman" w:hAnsi="Times New Roman" w:cs="Times New Roman"/>
          <w:color w:val="000000"/>
          <w:sz w:val="28"/>
          <w:szCs w:val="28"/>
        </w:rPr>
        <w:t xml:space="preserve">пути подъезда к месту пожара и к пожарным гидрантам.</w:t>
      </w:r>
      <w:r>
        <w:rPr>
          <w:rFonts w:ascii="Times New Roman" w:hAnsi="Times New Roman" w:cs="Times New Roman"/>
          <w:color w:val="000000"/>
          <w:sz w:val="28"/>
          <w:szCs w:val="28"/>
        </w:rPr>
      </w:r>
    </w:p>
    <w:p>
      <w:pPr>
        <w:pStyle w:val="1142"/>
        <w:numPr>
          <w:ilvl w:val="0"/>
          <w:numId w:val="54"/>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Выдать средства защиты.</w:t>
      </w:r>
      <w:r>
        <w:rPr>
          <w:rFonts w:ascii="Times New Roman" w:hAnsi="Times New Roman" w:cs="Times New Roman"/>
          <w:color w:val="000000"/>
          <w:sz w:val="28"/>
          <w:szCs w:val="28"/>
        </w:rPr>
      </w:r>
    </w:p>
    <w:p>
      <w:pPr>
        <w:pStyle w:val="1142"/>
        <w:numPr>
          <w:ilvl w:val="0"/>
          <w:numId w:val="54"/>
        </w:numPr>
        <w:ind w:left="0" w:firstLine="709"/>
        <w:jc w:val="both"/>
        <w:tabs>
          <w:tab w:val="left" w:pos="1701" w:leader="none"/>
        </w:tabs>
        <w:rPr>
          <w:rFonts w:ascii="Times New Roman" w:hAnsi="Times New Roman" w:cs="Times New Roman"/>
          <w:color w:val="000000"/>
          <w:sz w:val="28"/>
          <w:szCs w:val="28"/>
        </w:rPr>
      </w:pPr>
      <w:r>
        <w:rPr>
          <w:rFonts w:ascii="Times New Roman" w:hAnsi="Times New Roman" w:cs="Times New Roman"/>
          <w:color w:val="000000"/>
          <w:sz w:val="28"/>
          <w:szCs w:val="28"/>
        </w:rPr>
        <w:t xml:space="preserve">Указать места установки пожарных машин и подсоединения заземлений.</w:t>
      </w:r>
      <w:r>
        <w:rPr>
          <w:rFonts w:ascii="Times New Roman" w:hAnsi="Times New Roman" w:cs="Times New Roman"/>
          <w:color w:val="000000"/>
          <w:sz w:val="28"/>
          <w:szCs w:val="28"/>
        </w:rPr>
      </w:r>
    </w:p>
    <w:p>
      <w:pPr>
        <w:pStyle w:val="1142"/>
        <w:numPr>
          <w:ilvl w:val="0"/>
          <w:numId w:val="5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Провести инструктаж всему личному составу подразделения пожарной охраны, прибывшего к месту пожара (указать, что находится под </w:t>
      </w:r>
      <w:r>
        <w:rPr>
          <w:rFonts w:ascii="Times New Roman" w:hAnsi="Times New Roman" w:cs="Times New Roman"/>
          <w:sz w:val="28"/>
          <w:szCs w:val="28"/>
        </w:rPr>
        <w:t xml:space="preserve">напряжением и безопасные расстояния до токоведущих частей энергооборудования, проинформировать о проведенных подготовительных мероприятиях по отключению и заземлению оборудования и мерах безопасности при тушении электроустановок, а также по соблюдению мер </w:t>
      </w:r>
      <w:r>
        <w:rPr>
          <w:rFonts w:ascii="Times New Roman" w:hAnsi="Times New Roman" w:cs="Times New Roman"/>
          <w:sz w:val="28"/>
          <w:szCs w:val="28"/>
        </w:rPr>
        <w:t xml:space="preserve">безопасности при нахождении на объекте).</w:t>
      </w:r>
      <w:r>
        <w:rPr>
          <w:rFonts w:ascii="Times New Roman" w:hAnsi="Times New Roman" w:cs="Times New Roman"/>
          <w:sz w:val="28"/>
          <w:szCs w:val="28"/>
        </w:rPr>
      </w:r>
    </w:p>
    <w:p>
      <w:pPr>
        <w:pStyle w:val="1142"/>
        <w:numPr>
          <w:ilvl w:val="0"/>
          <w:numId w:val="5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Проверить заземление насосов </w:t>
      </w:r>
      <w:r>
        <w:rPr>
          <w:rFonts w:ascii="Times New Roman" w:hAnsi="Times New Roman" w:cs="Times New Roman"/>
          <w:sz w:val="28"/>
          <w:szCs w:val="28"/>
          <w:shd w:val="clear" w:color="auto" w:fill="ffffff"/>
        </w:rPr>
        <w:t xml:space="preserve">пожарных автомобилей</w:t>
      </w:r>
      <w:r>
        <w:rPr>
          <w:rFonts w:ascii="Times New Roman" w:hAnsi="Times New Roman" w:cs="Times New Roman"/>
          <w:sz w:val="28"/>
          <w:szCs w:val="28"/>
        </w:rPr>
        <w:t xml:space="preserve"> и пожарных стволов.</w:t>
      </w:r>
      <w:r>
        <w:rPr>
          <w:rFonts w:ascii="Times New Roman" w:hAnsi="Times New Roman" w:cs="Times New Roman"/>
          <w:sz w:val="28"/>
          <w:szCs w:val="28"/>
        </w:rPr>
      </w:r>
    </w:p>
    <w:p>
      <w:pPr>
        <w:pStyle w:val="1142"/>
        <w:numPr>
          <w:ilvl w:val="0"/>
          <w:numId w:val="54"/>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Выдать письменное разрешение (допуск) на тушение пожара РТП прибывшего </w:t>
      </w:r>
      <w:r>
        <w:rPr>
          <w:rFonts w:ascii="Times New Roman" w:hAnsi="Times New Roman" w:cs="Times New Roman"/>
          <w:sz w:val="28"/>
          <w:szCs w:val="28"/>
          <w:shd w:val="clear" w:color="auto" w:fill="ffffff"/>
        </w:rPr>
        <w:t xml:space="preserve">подразделения</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 xml:space="preserve">пожарной охраны </w:t>
      </w:r>
      <w:r>
        <w:rPr>
          <w:rFonts w:ascii="Times New Roman" w:hAnsi="Times New Roman" w:cs="Times New Roman"/>
          <w:sz w:val="28"/>
          <w:szCs w:val="28"/>
        </w:rPr>
        <w:t xml:space="preserve">МЧС России.</w:t>
      </w:r>
      <w:r>
        <w:rPr>
          <w:rFonts w:ascii="Times New Roman" w:hAnsi="Times New Roman" w:cs="Times New Roman"/>
          <w:sz w:val="28"/>
          <w:szCs w:val="28"/>
        </w:rPr>
      </w:r>
    </w:p>
    <w:p>
      <w:pPr>
        <w:pStyle w:val="1142"/>
        <w:numPr>
          <w:ilvl w:val="2"/>
          <w:numId w:val="87"/>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Руководители структурных подразделений объекта, оперативный персонал энергообъекта должен оказывать помощь РТП. Вмешиваться в действия РТП запрещается.</w:t>
      </w:r>
      <w:r>
        <w:rPr>
          <w:rFonts w:ascii="Times New Roman" w:hAnsi="Times New Roman" w:cs="Times New Roman"/>
          <w:sz w:val="28"/>
          <w:szCs w:val="28"/>
        </w:rPr>
      </w:r>
    </w:p>
    <w:p>
      <w:pPr>
        <w:ind w:right="15"/>
        <w:jc w:val="both"/>
        <w:shd w:val="clear" w:color="auto" w:fill="ffffff"/>
        <w:tabs>
          <w:tab w:val="left" w:pos="1418" w:leader="none"/>
        </w:tabs>
        <w:rPr>
          <w:b/>
          <w:color w:val="000000"/>
          <w:sz w:val="28"/>
          <w:szCs w:val="28"/>
        </w:rPr>
      </w:pPr>
      <w:r>
        <w:rPr>
          <w:b/>
          <w:color w:val="000000"/>
          <w:sz w:val="28"/>
          <w:szCs w:val="28"/>
        </w:rPr>
      </w:r>
      <w:r>
        <w:rPr>
          <w:b/>
          <w:color w:val="000000"/>
          <w:sz w:val="28"/>
          <w:szCs w:val="28"/>
        </w:rPr>
      </w:r>
    </w:p>
    <w:p>
      <w:pPr>
        <w:rPr>
          <w:sz w:val="28"/>
          <w:szCs w:val="28"/>
        </w:rPr>
      </w:pPr>
      <w:r>
        <w:rPr>
          <w:sz w:val="28"/>
          <w:szCs w:val="28"/>
        </w:rPr>
      </w:r>
      <w:r>
        <w:rPr>
          <w:sz w:val="28"/>
          <w:szCs w:val="28"/>
        </w:rPr>
      </w:r>
    </w:p>
    <w:p>
      <w:pPr>
        <w:ind w:right="15"/>
        <w:jc w:val="both"/>
        <w:shd w:val="clear" w:color="auto" w:fill="ffffff"/>
        <w:tabs>
          <w:tab w:val="left" w:pos="1418" w:leader="none"/>
        </w:tabs>
        <w:rPr>
          <w:sz w:val="28"/>
          <w:szCs w:val="28"/>
        </w:rPr>
      </w:pPr>
      <w:r>
        <w:rPr>
          <w:sz w:val="28"/>
          <w:szCs w:val="28"/>
        </w:rPr>
      </w:r>
      <w:r>
        <w:rPr>
          <w:sz w:val="28"/>
          <w:szCs w:val="28"/>
        </w:rPr>
      </w:r>
    </w:p>
    <w:p>
      <w:pPr>
        <w:ind w:right="15"/>
        <w:jc w:val="both"/>
        <w:shd w:val="clear" w:color="auto" w:fill="ffffff"/>
        <w:tabs>
          <w:tab w:val="left" w:pos="2925" w:leader="none"/>
        </w:tabs>
        <w:rPr>
          <w:b/>
        </w:rPr>
        <w:sectPr>
          <w:headerReference w:type="default" r:id="rId9"/>
          <w:headerReference w:type="even" r:id="rId10"/>
          <w:footnotePr/>
          <w:endnotePr/>
          <w:type w:val="nextPage"/>
          <w:pgSz w:w="11906" w:h="16838" w:orient="portrait"/>
          <w:pgMar w:top="1134" w:right="709" w:bottom="1134" w:left="1701" w:header="709" w:footer="709" w:gutter="0"/>
          <w:cols w:num="1" w:sep="0" w:space="708" w:equalWidth="1"/>
          <w:docGrid w:linePitch="360"/>
        </w:sectPr>
      </w:pPr>
      <w:r>
        <w:rPr>
          <w:sz w:val="28"/>
          <w:szCs w:val="28"/>
        </w:rPr>
        <w:tab/>
      </w:r>
      <w:bookmarkStart w:id="171" w:name="_Приложение_3_к"/>
      <w:r/>
      <w:bookmarkStart w:id="172" w:name="_Приложение_3"/>
      <w:r/>
      <w:bookmarkStart w:id="173" w:name="_Приложение_4_к"/>
      <w:r/>
      <w:bookmarkEnd w:id="171"/>
      <w:r/>
      <w:bookmarkEnd w:id="172"/>
      <w:r/>
      <w:bookmarkEnd w:id="173"/>
      <w:r/>
      <w:r>
        <w:rPr>
          <w:b/>
        </w:rPr>
      </w:r>
    </w:p>
    <w:p>
      <w:pPr>
        <w:pStyle w:val="950"/>
        <w:ind w:left="12900"/>
        <w:spacing w:before="0" w:after="0"/>
        <w:rPr>
          <w:rFonts w:ascii="Times New Roman" w:hAnsi="Times New Roman"/>
        </w:rPr>
      </w:pPr>
      <w:r>
        <w:rPr>
          <w:rFonts w:ascii="Times New Roman" w:hAnsi="Times New Roman"/>
          <w:sz w:val="24"/>
        </w:rPr>
        <w:t xml:space="preserve">Приложение А</w:t>
      </w:r>
      <w:r>
        <w:rPr>
          <w:rFonts w:ascii="Times New Roman" w:hAnsi="Times New Roman"/>
        </w:rPr>
      </w:r>
    </w:p>
    <w:p>
      <w:pPr>
        <w:ind w:left="12900"/>
        <w:rPr>
          <w:bCs/>
          <w:iCs/>
        </w:rPr>
      </w:pPr>
      <w:r>
        <w:rPr>
          <w:bCs/>
          <w:iCs/>
        </w:rPr>
        <w:br w:type="textWrapping" w:clear="all"/>
        <w:t xml:space="preserve">(обязательное)</w:t>
      </w:r>
      <w:r>
        <w:rPr>
          <w:bCs/>
          <w:iCs/>
        </w:rPr>
      </w:r>
    </w:p>
    <w:p>
      <w:pPr>
        <w:pStyle w:val="950"/>
        <w:ind w:left="8505"/>
        <w:spacing w:before="0" w:after="0"/>
        <w:rPr>
          <w:rFonts w:ascii="Times New Roman" w:hAnsi="Times New Roman"/>
          <w:b w:val="0"/>
          <w:sz w:val="24"/>
        </w:rPr>
      </w:pPr>
      <w:r>
        <w:rPr>
          <w:rFonts w:ascii="Times New Roman" w:hAnsi="Times New Roman"/>
          <w:b w:val="0"/>
          <w:sz w:val="24"/>
        </w:rPr>
      </w:r>
      <w:r>
        <w:rPr>
          <w:rFonts w:ascii="Times New Roman" w:hAnsi="Times New Roman"/>
          <w:b w:val="0"/>
          <w:sz w:val="24"/>
        </w:rPr>
      </w:r>
    </w:p>
    <w:p>
      <w:pPr>
        <w:jc w:val="center"/>
        <w:rPr>
          <w:sz w:val="28"/>
          <w:szCs w:val="28"/>
        </w:rPr>
      </w:pPr>
      <w:r>
        <w:rPr>
          <w:sz w:val="28"/>
          <w:szCs w:val="28"/>
        </w:rPr>
        <w:t xml:space="preserve">_________________________________________________________________________________</w:t>
      </w:r>
      <w:r>
        <w:rPr>
          <w:sz w:val="28"/>
          <w:szCs w:val="28"/>
        </w:rPr>
      </w:r>
    </w:p>
    <w:p>
      <w:pPr>
        <w:jc w:val="center"/>
        <w:rPr>
          <w:sz w:val="18"/>
          <w:szCs w:val="28"/>
        </w:rPr>
      </w:pPr>
      <w:r>
        <w:rPr>
          <w:sz w:val="18"/>
          <w:szCs w:val="28"/>
        </w:rPr>
        <w:t xml:space="preserve">(наименование организации)</w:t>
      </w:r>
      <w:r>
        <w:rPr>
          <w:sz w:val="1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sz w:val="28"/>
          <w:szCs w:val="28"/>
        </w:rPr>
      </w:pPr>
      <w:r>
        <w:rPr>
          <w:sz w:val="28"/>
          <w:szCs w:val="28"/>
        </w:rPr>
      </w:r>
      <w:r>
        <w:rPr>
          <w:sz w:val="28"/>
          <w:szCs w:val="28"/>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t xml:space="preserve">ЖУРНАЛ</w:t>
      </w:r>
      <w:r>
        <w:rPr>
          <w:b/>
          <w:bCs/>
          <w:sz w:val="32"/>
          <w:szCs w:val="32"/>
        </w:rPr>
      </w:r>
    </w:p>
    <w:p>
      <w:pPr>
        <w:jc w:val="center"/>
        <w:rPr>
          <w:b/>
          <w:bCs/>
          <w:sz w:val="32"/>
          <w:szCs w:val="32"/>
        </w:rPr>
      </w:pPr>
      <w:r>
        <w:rPr>
          <w:b/>
          <w:bCs/>
          <w:sz w:val="32"/>
          <w:szCs w:val="32"/>
        </w:rPr>
        <w:t xml:space="preserve">эксплуатации систем противопожарной защиты</w:t>
      </w:r>
      <w:r>
        <w:rPr>
          <w:b/>
          <w:bCs/>
          <w:sz w:val="32"/>
          <w:szCs w:val="32"/>
        </w:rPr>
      </w:r>
    </w:p>
    <w:p>
      <w:pPr>
        <w:jc w:val="center"/>
        <w:rPr>
          <w:b/>
          <w:bCs/>
          <w:sz w:val="32"/>
          <w:szCs w:val="32"/>
        </w:rPr>
      </w:pPr>
      <w:r>
        <w:rPr>
          <w:b/>
          <w:bCs/>
          <w:sz w:val="32"/>
          <w:szCs w:val="32"/>
        </w:rPr>
      </w:r>
      <w:r>
        <w:rPr>
          <w:b/>
          <w:bCs/>
          <w:sz w:val="32"/>
          <w:szCs w:val="32"/>
        </w:rPr>
      </w:r>
    </w:p>
    <w:p>
      <w:pPr>
        <w:jc w:val="center"/>
        <w:rPr>
          <w:b/>
          <w:bCs/>
        </w:rPr>
      </w:pPr>
      <w:r>
        <w:rPr>
          <w:b/>
          <w:bCs/>
        </w:rPr>
        <w:t xml:space="preserve">____________________________________________________________________</w:t>
      </w:r>
      <w:r>
        <w:rPr>
          <w:b/>
          <w:bCs/>
        </w:rPr>
      </w:r>
    </w:p>
    <w:p>
      <w:pPr>
        <w:jc w:val="center"/>
        <w:rPr>
          <w:bCs/>
          <w:sz w:val="18"/>
        </w:rPr>
      </w:pPr>
      <w:r>
        <w:rPr>
          <w:bCs/>
          <w:sz w:val="18"/>
        </w:rPr>
        <w:t xml:space="preserve">(наименование подразделения, объекта, адрес)</w:t>
      </w:r>
      <w:r>
        <w:rPr>
          <w:bCs/>
          <w:sz w:val="18"/>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r>
      <w:r>
        <w:rPr>
          <w:b/>
          <w:bCs/>
          <w:sz w:val="32"/>
          <w:szCs w:val="32"/>
        </w:rPr>
      </w:r>
    </w:p>
    <w:p>
      <w:pPr>
        <w:jc w:val="center"/>
        <w:rPr>
          <w:b/>
          <w:bCs/>
          <w:sz w:val="32"/>
          <w:szCs w:val="32"/>
        </w:rPr>
      </w:pPr>
      <w:r>
        <w:rPr>
          <w:b/>
          <w:bCs/>
          <w:sz w:val="32"/>
          <w:szCs w:val="32"/>
        </w:rPr>
      </w:r>
      <w:r>
        <w:rPr>
          <w:b/>
          <w:bCs/>
          <w:sz w:val="32"/>
          <w:szCs w:val="32"/>
        </w:rPr>
      </w:r>
    </w:p>
    <w:p>
      <w:pPr>
        <w:jc w:val="both"/>
        <w:rPr>
          <w:b/>
          <w:bCs/>
          <w:sz w:val="28"/>
          <w:szCs w:val="28"/>
        </w:rPr>
      </w:pPr>
      <w:r>
        <w:rPr>
          <w:b/>
          <w:bCs/>
          <w:sz w:val="28"/>
          <w:szCs w:val="28"/>
        </w:rPr>
      </w:r>
      <w:r>
        <w:rPr>
          <w:b/>
          <w:bCs/>
          <w:sz w:val="28"/>
          <w:szCs w:val="28"/>
        </w:rPr>
      </w:r>
    </w:p>
    <w:p>
      <w:pPr>
        <w:jc w:val="both"/>
        <w:rPr>
          <w:b/>
          <w:bCs/>
          <w:sz w:val="28"/>
          <w:szCs w:val="28"/>
        </w:rPr>
      </w:pPr>
      <w:r>
        <w:rPr>
          <w:b/>
          <w:bCs/>
          <w:sz w:val="28"/>
          <w:szCs w:val="28"/>
        </w:rPr>
      </w:r>
      <w:r>
        <w:rPr>
          <w:b/>
          <w:bCs/>
          <w:sz w:val="28"/>
          <w:szCs w:val="28"/>
        </w:rPr>
      </w:r>
    </w:p>
    <w:p>
      <w:pPr>
        <w:ind w:left="9498"/>
        <w:jc w:val="both"/>
        <w:rPr>
          <w:sz w:val="28"/>
          <w:szCs w:val="28"/>
        </w:rPr>
      </w:pPr>
      <w:r>
        <w:rPr>
          <w:sz w:val="28"/>
          <w:szCs w:val="28"/>
        </w:rPr>
        <w:t xml:space="preserve">Начат:     «___» _____________ 202 _ г.</w:t>
      </w:r>
      <w:r>
        <w:rPr>
          <w:sz w:val="28"/>
          <w:szCs w:val="28"/>
        </w:rPr>
      </w:r>
    </w:p>
    <w:p>
      <w:pPr>
        <w:ind w:left="9498"/>
        <w:jc w:val="both"/>
        <w:rPr>
          <w:sz w:val="28"/>
          <w:szCs w:val="28"/>
        </w:rPr>
      </w:pPr>
      <w:r>
        <w:rPr>
          <w:sz w:val="28"/>
          <w:szCs w:val="28"/>
        </w:rPr>
        <w:t xml:space="preserve">Окончен: «___» _____________ 202 _ г.</w:t>
      </w:r>
      <w:r>
        <w:rPr>
          <w:sz w:val="28"/>
          <w:szCs w:val="28"/>
        </w:rPr>
      </w:r>
    </w:p>
    <w:p>
      <w:pPr>
        <w:jc w:val="center"/>
        <w:rPr>
          <w:b/>
          <w:bCs/>
          <w:sz w:val="28"/>
          <w:szCs w:val="28"/>
        </w:rPr>
      </w:pPr>
      <w:r>
        <w:rPr>
          <w:b/>
          <w:bCs/>
          <w:sz w:val="28"/>
          <w:szCs w:val="28"/>
        </w:rPr>
      </w:r>
      <w:r>
        <w:rPr>
          <w:b/>
          <w:bCs/>
          <w:sz w:val="28"/>
          <w:szCs w:val="28"/>
        </w:rPr>
      </w:r>
    </w:p>
    <w:p>
      <w:pPr>
        <w:jc w:val="center"/>
        <w:rPr>
          <w:b/>
          <w:bCs/>
          <w:sz w:val="28"/>
          <w:szCs w:val="28"/>
        </w:rPr>
      </w:pPr>
      <w:r>
        <w:rPr>
          <w:b/>
          <w:bCs/>
          <w:sz w:val="28"/>
          <w:szCs w:val="28"/>
        </w:rPr>
      </w:r>
      <w:r>
        <w:rPr>
          <w:b/>
          <w:bCs/>
          <w:sz w:val="28"/>
          <w:szCs w:val="28"/>
        </w:rPr>
      </w:r>
    </w:p>
    <w:p>
      <w:pPr>
        <w:jc w:val="center"/>
        <w:rPr>
          <w:b/>
          <w:bCs/>
          <w:sz w:val="28"/>
          <w:szCs w:val="28"/>
        </w:rPr>
      </w:pPr>
      <w:r>
        <w:rPr>
          <w:b/>
          <w:bCs/>
          <w:sz w:val="28"/>
          <w:szCs w:val="28"/>
        </w:rPr>
      </w:r>
      <w:r>
        <w:rPr>
          <w:b/>
          <w:bCs/>
          <w:sz w:val="28"/>
          <w:szCs w:val="28"/>
        </w:rPr>
      </w:r>
    </w:p>
    <w:p>
      <w:pPr>
        <w:jc w:val="center"/>
        <w:rPr>
          <w:b/>
          <w:bCs/>
        </w:rPr>
      </w:pPr>
      <w:r>
        <w:rPr>
          <w:b/>
          <w:bCs/>
        </w:rPr>
        <w:t xml:space="preserve">Содержание журнала</w:t>
      </w:r>
      <w:r>
        <w:rPr>
          <w:b/>
          <w:bCs/>
        </w:rPr>
      </w:r>
    </w:p>
    <w:p>
      <w:pPr>
        <w:jc w:val="center"/>
        <w:rPr>
          <w:b/>
          <w:bCs/>
          <w:sz w:val="20"/>
          <w:szCs w:val="28"/>
        </w:rPr>
      </w:pPr>
      <w:r>
        <w:rPr>
          <w:b/>
          <w:bCs/>
          <w:sz w:val="20"/>
          <w:szCs w:val="28"/>
        </w:rPr>
      </w:r>
      <w:r>
        <w:rPr>
          <w:b/>
          <w:bCs/>
          <w:sz w:val="20"/>
          <w:szCs w:val="28"/>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76"/>
        <w:gridCol w:w="11689"/>
        <w:gridCol w:w="1695"/>
      </w:tblGrid>
      <w:tr>
        <w:tblPrEx/>
        <w:trPr/>
        <w:tc>
          <w:tcPr>
            <w:tcW w:w="1176" w:type="dxa"/>
            <w:vAlign w:val="center"/>
            <w:textDirection w:val="lrTb"/>
            <w:noWrap w:val="false"/>
          </w:tcPr>
          <w:p>
            <w:pPr>
              <w:jc w:val="center"/>
              <w:rPr>
                <w:b/>
                <w:bCs/>
              </w:rPr>
            </w:pPr>
            <w:r>
              <w:rPr>
                <w:b/>
                <w:bCs/>
              </w:rPr>
              <w:t xml:space="preserve">Номер раздела журнала</w:t>
            </w:r>
            <w:r>
              <w:rPr>
                <w:b/>
                <w:bCs/>
              </w:rPr>
            </w:r>
          </w:p>
        </w:tc>
        <w:tc>
          <w:tcPr>
            <w:tcW w:w="11689" w:type="dxa"/>
            <w:vAlign w:val="center"/>
            <w:textDirection w:val="lrTb"/>
            <w:noWrap w:val="false"/>
          </w:tcPr>
          <w:p>
            <w:pPr>
              <w:jc w:val="center"/>
            </w:pPr>
            <w:r>
              <w:rPr>
                <w:b/>
                <w:bCs/>
              </w:rPr>
              <w:t xml:space="preserve">Наименование раздела журнала</w:t>
            </w:r>
            <w:r/>
          </w:p>
        </w:tc>
        <w:tc>
          <w:tcPr>
            <w:tcW w:w="1695" w:type="dxa"/>
            <w:vAlign w:val="center"/>
            <w:textDirection w:val="lrTb"/>
            <w:noWrap w:val="false"/>
          </w:tcPr>
          <w:p>
            <w:pPr>
              <w:jc w:val="center"/>
              <w:rPr>
                <w:b/>
                <w:bCs/>
              </w:rPr>
            </w:pPr>
            <w:r>
              <w:rPr>
                <w:b/>
                <w:bCs/>
              </w:rPr>
              <w:t xml:space="preserve">Страница начала раздела</w:t>
            </w:r>
            <w:r>
              <w:rPr>
                <w:b/>
                <w:bCs/>
              </w:rPr>
            </w:r>
          </w:p>
        </w:tc>
      </w:tr>
      <w:tr>
        <w:tblPrEx/>
        <w:trPr/>
        <w:tc>
          <w:tcPr>
            <w:tcW w:w="1176" w:type="dxa"/>
            <w:textDirection w:val="lrTb"/>
            <w:noWrap w:val="false"/>
          </w:tcPr>
          <w:p>
            <w:pPr>
              <w:pStyle w:val="1142"/>
              <w:numPr>
                <w:ilvl w:val="0"/>
                <w:numId w:val="114"/>
              </w:numPr>
              <w:contextualSpacing/>
              <w:ind w:left="0" w:firstLine="454"/>
              <w:jc w:val="center"/>
              <w:rPr>
                <w:rFonts w:ascii="Times New Roman" w:hAnsi="Times New Roman" w:cs="Times New Roman"/>
                <w:sz w:val="24"/>
                <w:szCs w:val="24"/>
                <w:lang w:val="en-US"/>
              </w:rPr>
            </w:pPr>
            <w:r>
              <w:rPr>
                <w:rFonts w:ascii="Times New Roman" w:hAnsi="Times New Roman" w:cs="Times New Roman"/>
                <w:sz w:val="24"/>
                <w:szCs w:val="24"/>
                <w:lang w:val="en-US"/>
              </w:rPr>
            </w:r>
            <w:r>
              <w:rPr>
                <w:rFonts w:ascii="Times New Roman" w:hAnsi="Times New Roman" w:cs="Times New Roman"/>
                <w:sz w:val="24"/>
                <w:szCs w:val="24"/>
                <w:lang w:val="en-US"/>
              </w:rPr>
            </w:r>
          </w:p>
        </w:tc>
        <w:tc>
          <w:tcPr>
            <w:tcW w:w="11689" w:type="dxa"/>
            <w:textDirection w:val="lrTb"/>
            <w:noWrap w:val="false"/>
          </w:tcPr>
          <w:p>
            <w:pPr>
              <w:jc w:val="both"/>
            </w:pPr>
            <w:r>
              <w:t xml:space="preserve">Проведение эксплуатационных испытаний пожарных лестниц, наружных открытых эвакуационных лестниц, ограждений на крышах.</w:t>
            </w:r>
            <w:r/>
          </w:p>
          <w:p>
            <w:pPr>
              <w:jc w:val="both"/>
              <w:rPr>
                <w:i/>
                <w:iCs/>
              </w:rPr>
            </w:pPr>
            <w:r>
              <w:rPr>
                <w:i/>
                <w:iCs/>
              </w:rPr>
              <w:t xml:space="preserve">п.17 «б» Правил противопожарного режима в РФ</w:t>
            </w:r>
            <w:r>
              <w:rPr>
                <w:i/>
                <w:iCs/>
              </w:rP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454"/>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Проверка средств индивидуальной защиты органов дыхания и зрения человека от опасных факторов пожара.</w:t>
            </w:r>
            <w:r/>
          </w:p>
          <w:p>
            <w:pPr>
              <w:jc w:val="both"/>
              <w:rPr>
                <w:i/>
                <w:iCs/>
              </w:rPr>
            </w:pPr>
            <w:r>
              <w:rPr>
                <w:i/>
                <w:iCs/>
              </w:rPr>
              <w:t xml:space="preserve">п.30 Правил противопожарного режима в РФ</w:t>
            </w:r>
            <w:r>
              <w:rPr>
                <w:i/>
                <w:iCs/>
              </w:rP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1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Проверка огнезадерживающих устройств (</w:t>
            </w:r>
            <w:r>
              <w:t xml:space="preserve">заслонок, шиберов, клапанов и др.) в воздуховодах, устройств блокировки вентиляционных систем с автоматическими установками пожарной сигнализации или пожаротушения, автоматических устройств отключения общеобменной вентиляции и кондиционирования при пожаре.</w:t>
            </w:r>
            <w:r/>
          </w:p>
          <w:p>
            <w:pPr>
              <w:jc w:val="both"/>
            </w:pPr>
            <w:r>
              <w:rPr>
                <w:i/>
                <w:iCs/>
              </w:rPr>
              <w:t xml:space="preserve">п.42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1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Работы по очистке вентиляционных камер, циклонов, фильтров, воздуховодов, вытяжных устройств (шкафов, окрасочных, сушильных камер и др.), аппаратов и трубопроводов от горючих и пожароопасных отходов и отложений.</w:t>
            </w:r>
            <w:r/>
          </w:p>
          <w:p>
            <w:pPr>
              <w:jc w:val="both"/>
              <w:rPr>
                <w:i/>
                <w:iCs/>
              </w:rPr>
            </w:pPr>
            <w:r>
              <w:rPr>
                <w:i/>
                <w:iCs/>
              </w:rPr>
              <w:t xml:space="preserve">п.43, п.124 Правил противопожарного режима в РФ</w:t>
            </w:r>
            <w:r>
              <w:rPr>
                <w:i/>
                <w:iCs/>
              </w:rP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1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Проверка соответствия водоотдачи наружных водопроводов противопожарного водоснабжения.</w:t>
            </w:r>
            <w:r/>
          </w:p>
          <w:p>
            <w:pPr>
              <w:jc w:val="both"/>
            </w:pPr>
            <w:r>
              <w:rPr>
                <w:i/>
                <w:iCs/>
              </w:rPr>
              <w:t xml:space="preserve">п.48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Проверка соответствия водоотдачи внутренних водопроводов противопожарного водоснабжения. Укомплектованность пожарных кранов (рукава, ручные пожарные стволы, пожарные запорные клапаны, водокольцевые катушки).</w:t>
            </w:r>
            <w:r/>
          </w:p>
          <w:p>
            <w:pPr>
              <w:jc w:val="both"/>
            </w:pPr>
            <w:r>
              <w:rPr>
                <w:i/>
                <w:iCs/>
              </w:rPr>
              <w:t xml:space="preserve">п.48, п.50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Перекатка пожарных рукавов, входящих в комплектацию пожарных кранов внутреннего противопожарного водопровода.</w:t>
            </w:r>
            <w:r/>
          </w:p>
          <w:p>
            <w:pPr>
              <w:jc w:val="both"/>
            </w:pPr>
            <w:r>
              <w:rPr>
                <w:i/>
                <w:iCs/>
              </w:rPr>
              <w:t xml:space="preserve">п.50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Проверка работоспособности задвижек с электроприводом, установленных на обводных линиях водомерных устройств, а также пожарных основных рабочих и резервных пожарных насосных агрегатов.</w:t>
            </w:r>
            <w:r/>
          </w:p>
          <w:p>
            <w:pPr>
              <w:jc w:val="both"/>
            </w:pPr>
            <w:r>
              <w:rPr>
                <w:i/>
                <w:iCs/>
              </w:rPr>
              <w:t xml:space="preserve">п.52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Работы, проводимые со средствами обеспечения пожарной безопасности и пожаротушения.</w:t>
            </w:r>
            <w:r/>
          </w:p>
          <w:p>
            <w:pPr>
              <w:jc w:val="both"/>
            </w:pPr>
            <w:r>
              <w:t xml:space="preserve">Автоматическая установка пожаротушения.</w:t>
            </w:r>
            <w:r/>
          </w:p>
          <w:p>
            <w:pPr>
              <w:jc w:val="both"/>
            </w:pPr>
            <w:r>
              <w:rPr>
                <w:i/>
                <w:iCs/>
              </w:rPr>
              <w:t xml:space="preserve">п.54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Работы, проводимые со средствами обеспечения пожарной безопасности и пожаротушения.</w:t>
            </w:r>
            <w:r/>
          </w:p>
          <w:p>
            <w:pPr>
              <w:jc w:val="both"/>
            </w:pPr>
            <w:r>
              <w:t xml:space="preserve">Автоматическая установка пожарной сигнализации.</w:t>
            </w:r>
            <w:r/>
          </w:p>
          <w:p>
            <w:pPr>
              <w:jc w:val="both"/>
            </w:pPr>
            <w:r>
              <w:rPr>
                <w:i/>
                <w:iCs/>
              </w:rPr>
              <w:t xml:space="preserve">п.54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Работы, проводимые со средствами обеспечения пожарной безопасности и пожаротушения.</w:t>
            </w:r>
            <w:r/>
          </w:p>
          <w:p>
            <w:pPr>
              <w:jc w:val="both"/>
            </w:pPr>
            <w:r>
              <w:t xml:space="preserve">Система оповещения и управления эвакуацией людей при пожаре.</w:t>
            </w:r>
            <w:r/>
          </w:p>
          <w:p>
            <w:pPr>
              <w:jc w:val="both"/>
            </w:pPr>
            <w:r>
              <w:rPr>
                <w:i/>
                <w:iCs/>
              </w:rPr>
              <w:t xml:space="preserve">п.54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Работы, проводимые со средствами обеспечения пожарной безопасности и пожаротушения.</w:t>
            </w:r>
            <w:r/>
          </w:p>
          <w:p>
            <w:pPr>
              <w:jc w:val="both"/>
            </w:pPr>
            <w:r>
              <w:t xml:space="preserve">Системы противодымной вентиляции.</w:t>
            </w:r>
            <w:r/>
          </w:p>
          <w:p>
            <w:pPr>
              <w:jc w:val="both"/>
            </w:pPr>
            <w:r>
              <w:rPr>
                <w:i/>
                <w:iCs/>
              </w:rPr>
              <w:t xml:space="preserve">п.54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Учет наличия, периодического осмотра и перезарядки огнетушителей.</w:t>
            </w:r>
            <w:r/>
          </w:p>
          <w:p>
            <w:pPr>
              <w:jc w:val="both"/>
            </w:pPr>
            <w:r>
              <w:rPr>
                <w:i/>
                <w:iCs/>
              </w:rPr>
              <w:t xml:space="preserve">п.60 Правил противопожарного режима в РФ</w:t>
            </w:r>
            <w:r/>
          </w:p>
        </w:tc>
        <w:tc>
          <w:tcPr>
            <w:tcW w:w="1695" w:type="dxa"/>
            <w:textDirection w:val="lrTb"/>
            <w:noWrap w:val="false"/>
          </w:tcPr>
          <w:p>
            <w:pPr>
              <w:jc w:val="center"/>
            </w:pPr>
            <w:r/>
            <w:r/>
          </w:p>
        </w:tc>
      </w:tr>
      <w:tr>
        <w:tblPrEx/>
        <w:trPr/>
        <w:tc>
          <w:tcPr>
            <w:tcW w:w="1176" w:type="dxa"/>
            <w:textDirection w:val="lrTb"/>
            <w:noWrap w:val="false"/>
          </w:tcPr>
          <w:p>
            <w:pPr>
              <w:pStyle w:val="1142"/>
              <w:numPr>
                <w:ilvl w:val="0"/>
                <w:numId w:val="114"/>
              </w:numPr>
              <w:contextualSpacing/>
              <w:ind w:left="0"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1689" w:type="dxa"/>
            <w:textDirection w:val="lrTb"/>
            <w:noWrap w:val="false"/>
          </w:tcPr>
          <w:p>
            <w:pPr>
              <w:jc w:val="both"/>
            </w:pPr>
            <w:r>
              <w:t xml:space="preserve">Учет и контроль состояния первичных средств пожаротушения (ящиков с песком, покрывал для изоляции очага возгорания, пожарного инвентаря).</w:t>
            </w:r>
            <w:r/>
          </w:p>
          <w:p>
            <w:pPr>
              <w:jc w:val="both"/>
              <w:rPr>
                <w:i/>
                <w:iCs/>
              </w:rPr>
            </w:pPr>
            <w:r>
              <w:rPr>
                <w:i/>
                <w:iCs/>
              </w:rPr>
              <w:t xml:space="preserve">п.14.1.20 Руководящих указаний по установлению противопожарного режима (приложение 2</w:t>
            </w:r>
            <w:r>
              <w:t xml:space="preserve"> </w:t>
            </w:r>
            <w:r>
              <w:rPr>
                <w:i/>
                <w:iCs/>
              </w:rPr>
              <w:t xml:space="preserve">к Политике </w:t>
            </w:r>
            <w:r>
              <w:rPr>
                <w:i/>
                <w:iCs/>
              </w:rPr>
            </w:r>
          </w:p>
          <w:p>
            <w:pPr>
              <w:jc w:val="both"/>
            </w:pPr>
            <w:r>
              <w:rPr>
                <w:i/>
                <w:iCs/>
              </w:rPr>
              <w:t xml:space="preserve">в области пожарной безопасности ПАО «Россети»).</w:t>
            </w:r>
            <w:r/>
          </w:p>
        </w:tc>
        <w:tc>
          <w:tcPr>
            <w:tcW w:w="1695" w:type="dxa"/>
            <w:textDirection w:val="lrTb"/>
            <w:noWrap w:val="false"/>
          </w:tcPr>
          <w:p>
            <w:pPr>
              <w:jc w:val="center"/>
            </w:pPr>
            <w:r/>
            <w:r/>
          </w:p>
        </w:tc>
      </w:tr>
    </w:tbl>
    <w:p>
      <w:r/>
      <w:r/>
    </w:p>
    <w:p>
      <w:pPr>
        <w:pStyle w:val="1334"/>
        <w:jc w:val="center"/>
        <w:rPr>
          <w:b/>
        </w:rPr>
      </w:pPr>
      <w:r>
        <w:rPr>
          <w:b/>
        </w:rPr>
        <w:t xml:space="preserve">Крайний лист журнала (или следующий лист после содержания)</w:t>
      </w:r>
      <w:r>
        <w:rPr>
          <w:b/>
        </w:rPr>
      </w:r>
    </w:p>
    <w:p>
      <w:pPr>
        <w:pStyle w:val="1334"/>
      </w:pPr>
      <w:r>
        <w:rPr>
          <w:b/>
          <w:bCs/>
        </w:rPr>
        <w:t xml:space="preserve">Периодичность проведения проверок в соответствии с требованиями Правил противопожарного режима в РФ:</w:t>
      </w:r>
      <w:r/>
    </w:p>
    <w:p>
      <w:pPr>
        <w:pStyle w:val="1334"/>
      </w:pPr>
      <w:r>
        <w:t xml:space="preserve">1. Проведение эксплуатационных испытаний пожарных лестниц, наружных открытых лестниц, предназначенных для эвакуации людей из зданий и сооружений при пожаре, ограждений на крышах - не реже 1 раза в 5 лет (п.17 «б» Правил). </w:t>
      </w:r>
      <w:r/>
    </w:p>
    <w:p>
      <w:pPr>
        <w:pStyle w:val="1334"/>
      </w:pPr>
      <w:r>
        <w:t xml:space="preserve">2. Проверка средств индивидуальной защиты органов дыхания и зрения человека от опасных факторов пожара на предмет отсутствия механических повреждений и их целостности - 1 раз в год (п.30 Правил). </w:t>
      </w:r>
      <w:r/>
    </w:p>
    <w:p>
      <w:pPr>
        <w:pStyle w:val="1334"/>
      </w:pPr>
      <w:r>
        <w:t xml:space="preserve">3. Проверка огнезадерживающих устройств (заслонок, шиберов, клапанов и др.) в воздуховодах, устройств блокировки вентиляционных систем с авто</w:t>
      </w:r>
      <w:r>
        <w:t xml:space="preserve">матическими установками пожарной сигнализации или пожаротушения, автоматических устройств отключения общеобменной вентиляции и кондиционирования при пожаре – периодичность определяется в соответствии с технической документацией изготовителя (п.42 Правил). </w:t>
      </w:r>
      <w:r/>
    </w:p>
    <w:p>
      <w:pPr>
        <w:pStyle w:val="1334"/>
      </w:pPr>
      <w:r>
        <w:t xml:space="preserve">4. Работы по очистке вентиляционных камер, циклонов, фильтров, воздуховодов, вытяжных устройств (шкафов, окрасочных, сушиль</w:t>
      </w:r>
      <w:r>
        <w:t xml:space="preserve">ных камер и др.), аппаратов и трубопроводов от горючих и пожароопасных отходов и отложений - помещениях категорий А и Б - не реже 1 раза в квартал; категорий В1-В4 - не реже 1 раза в полугодие; других категорий - не реже 1 раза в год (п.43, п.124 Правил). </w:t>
      </w:r>
      <w:r/>
    </w:p>
    <w:p>
      <w:pPr>
        <w:pStyle w:val="1334"/>
      </w:pPr>
      <w:r>
        <w:t xml:space="preserve">5. Проверка водоотдачи наружных и внутренних водопроводов противопожарного водоснабжения - не реже 2 раз в год (весной и осенью) (п.48 Правил). </w:t>
      </w:r>
      <w:r/>
    </w:p>
    <w:p>
      <w:pPr>
        <w:pStyle w:val="1334"/>
      </w:pPr>
      <w:r>
        <w:t xml:space="preserve">6. Перекатка пожарных рукавов - не реже 1 раза в год (п.50 Правил). </w:t>
      </w:r>
      <w:r/>
    </w:p>
    <w:p>
      <w:pPr>
        <w:pStyle w:val="1334"/>
      </w:pPr>
      <w:r>
        <w:t xml:space="preserve">7. Проверка работоспособности задвижек с электроприводом, установленных на обводных линиях водомерных устройств - не реже 2 раз в год (п.52 Правил). </w:t>
      </w:r>
      <w:r/>
    </w:p>
    <w:p>
      <w:pPr>
        <w:pStyle w:val="1334"/>
      </w:pPr>
      <w:r>
        <w:t xml:space="preserve">8. Проверка работоспособности основных рабочих и резервных пожарных насосных агрегатов - ежемесячно (п.52 Правил). </w:t>
      </w:r>
      <w:r/>
    </w:p>
    <w:p>
      <w:pPr>
        <w:pStyle w:val="1334"/>
      </w:pPr>
      <w:r>
        <w:t xml:space="preserve">9. СПС, АУП, СОУЭ, противодымная вентиляция – в соответствии с регламентом технического обслуживания, выполненного с учетом инструкции изготовителя на технические средства (п.54 Правил). </w:t>
      </w:r>
      <w:r/>
    </w:p>
    <w:p>
      <w:pPr>
        <w:pStyle w:val="1334"/>
      </w:pPr>
      <w:r>
        <w:t xml:space="preserve">10. Сроки перезарядки и освидетельствования огнетушителей - в соответствии с паспортом огнетушителя (п.60 Правил). </w:t>
      </w:r>
      <w:r/>
    </w:p>
    <w:p>
      <w:pPr>
        <w:pStyle w:val="1334"/>
        <w:sectPr>
          <w:footnotePr/>
          <w:endnotePr/>
          <w:type w:val="nextPage"/>
          <w:pgSz w:w="16838" w:h="11906" w:orient="landscape"/>
          <w:pgMar w:top="851" w:right="1134" w:bottom="851" w:left="1134" w:header="709" w:footer="709" w:gutter="0"/>
          <w:cols w:num="1" w:sep="0" w:space="708" w:equalWidth="1"/>
          <w:docGrid w:linePitch="360"/>
        </w:sectPr>
      </w:pPr>
      <w:r>
        <w:t xml:space="preserve">11. Учет пожарного инвентаря (немеханизированного пожарного инструмента), размещаемого на объекте в составе комплектации пожарных щитов следует вести в привязке к номеру пожарного щита, на котором инвентарь расположен</w:t>
      </w:r>
      <w:r>
        <w:t xml:space="preserve">.  При этом не требуется указывать номер на каждом пожарном инвентаре (немеханизированном пожарном инструменте). Одиночный пожарный инвентарь, не входящий в комплектацию пожарного щита, учитывается по порядковому номеру,  виду инвентаря и месту размещения.</w:t>
      </w:r>
      <w:r/>
    </w:p>
    <w:p>
      <w:pPr>
        <w:pStyle w:val="950"/>
        <w:ind w:left="7655"/>
        <w:spacing w:before="0" w:after="0"/>
        <w:rPr>
          <w:rFonts w:ascii="Times New Roman" w:hAnsi="Times New Roman"/>
        </w:rPr>
      </w:pPr>
      <w:r>
        <w:rPr>
          <w:rFonts w:ascii="Times New Roman" w:hAnsi="Times New Roman"/>
          <w:sz w:val="24"/>
        </w:rPr>
        <w:t xml:space="preserve">Приложение Б</w:t>
      </w:r>
      <w:r>
        <w:rPr>
          <w:rFonts w:ascii="Times New Roman" w:hAnsi="Times New Roman"/>
        </w:rPr>
      </w:r>
    </w:p>
    <w:p>
      <w:pPr>
        <w:ind w:left="7797"/>
        <w:rPr>
          <w:bCs/>
          <w:iCs/>
        </w:rPr>
      </w:pPr>
      <w:r>
        <w:rPr>
          <w:bCs/>
          <w:iCs/>
        </w:rPr>
        <w:br w:type="textWrapping" w:clear="all"/>
        <w:t xml:space="preserve">(обязательное)</w:t>
      </w:r>
      <w:r>
        <w:rPr>
          <w:bCs/>
          <w:iCs/>
        </w:rPr>
      </w:r>
    </w:p>
    <w:p>
      <w:pPr>
        <w:jc w:val="center"/>
        <w:rPr>
          <w:bCs/>
          <w:iCs/>
        </w:rPr>
      </w:pPr>
      <w:r>
        <w:rPr>
          <w:bCs/>
          <w:iCs/>
        </w:rPr>
      </w:r>
      <w:r>
        <w:rPr>
          <w:bCs/>
          <w:iCs/>
        </w:rPr>
      </w:r>
    </w:p>
    <w:p>
      <w:pPr>
        <w:pStyle w:val="1195"/>
        <w:rPr>
          <w:rFonts w:ascii="Times New Roman" w:hAnsi="Times New Roman" w:cs="Times New Roman"/>
          <w:sz w:val="24"/>
          <w:szCs w:val="24"/>
        </w:rPr>
      </w:pPr>
      <w:r>
        <w:rPr>
          <w:rFonts w:ascii="Times New Roman" w:hAnsi="Times New Roman" w:cs="Times New Roman"/>
          <w:sz w:val="24"/>
          <w:szCs w:val="24"/>
        </w:rPr>
        <w:t xml:space="preserve">Организация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УТВЕРЖДАЮ </w:t>
      </w:r>
      <w:hyperlink w:tooltip="#P1827" w:anchor="P1827" w:history="1">
        <w:r>
          <w:rPr>
            <w:rFonts w:ascii="Times New Roman" w:hAnsi="Times New Roman" w:cs="Times New Roman"/>
            <w:color w:val="0000ff"/>
            <w:sz w:val="24"/>
            <w:szCs w:val="24"/>
          </w:rPr>
          <w:t xml:space="preserve">&lt;*&gt;</w:t>
        </w:r>
      </w:hyperlink>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Предприятие</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Цех</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__________________________________</w:t>
      </w:r>
      <w:r>
        <w:rPr>
          <w:rFonts w:ascii="Times New Roman" w:hAnsi="Times New Roman" w:cs="Times New Roman"/>
          <w:sz w:val="24"/>
          <w:szCs w:val="24"/>
        </w:rPr>
      </w:r>
    </w:p>
    <w:p>
      <w:pPr>
        <w:pStyle w:val="1195"/>
        <w:ind w:left="4820"/>
        <w:jc w:val="center"/>
        <w:rPr>
          <w:rFonts w:ascii="Times New Roman" w:hAnsi="Times New Roman" w:cs="Times New Roman"/>
          <w:sz w:val="18"/>
          <w:szCs w:val="24"/>
        </w:rPr>
      </w:pPr>
      <w:r>
        <w:rPr>
          <w:rFonts w:ascii="Times New Roman" w:hAnsi="Times New Roman" w:cs="Times New Roman"/>
          <w:sz w:val="18"/>
          <w:szCs w:val="24"/>
        </w:rPr>
        <w:t xml:space="preserve">(должность руководителя или лица, ответственного</w:t>
      </w:r>
      <w:r>
        <w:rPr>
          <w:rFonts w:ascii="Times New Roman" w:hAnsi="Times New Roman" w:cs="Times New Roman"/>
          <w:sz w:val="18"/>
          <w:szCs w:val="24"/>
        </w:rPr>
        <w:br w:type="textWrapping" w:clear="all"/>
        <w:t xml:space="preserve">за пожарную безопасность)</w:t>
      </w:r>
      <w:r>
        <w:rPr>
          <w:rFonts w:ascii="Times New Roman" w:hAnsi="Times New Roman" w:cs="Times New Roman"/>
          <w:sz w:val="18"/>
          <w:szCs w:val="24"/>
        </w:rPr>
      </w:r>
    </w:p>
    <w:p>
      <w:pPr>
        <w:pStyle w:val="1195"/>
        <w:ind w:left="4820"/>
        <w:jc w:val="center"/>
        <w:rPr>
          <w:rFonts w:ascii="Times New Roman" w:hAnsi="Times New Roman" w:cs="Times New Roman"/>
          <w:sz w:val="18"/>
          <w:szCs w:val="24"/>
        </w:rPr>
      </w:pPr>
      <w:r>
        <w:rPr>
          <w:rFonts w:ascii="Times New Roman" w:hAnsi="Times New Roman" w:cs="Times New Roman"/>
          <w:sz w:val="18"/>
          <w:szCs w:val="24"/>
        </w:rPr>
      </w:r>
      <w:r>
        <w:rPr>
          <w:rFonts w:ascii="Times New Roman" w:hAnsi="Times New Roman" w:cs="Times New Roman"/>
          <w:sz w:val="18"/>
          <w:szCs w:val="24"/>
        </w:rPr>
      </w:r>
    </w:p>
    <w:p>
      <w:pPr>
        <w:pStyle w:val="1195"/>
        <w:ind w:left="4254" w:firstLine="709"/>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w:t>
      </w:r>
      <w:r>
        <w:rPr>
          <w:rFonts w:ascii="Times New Roman" w:hAnsi="Times New Roman" w:cs="Times New Roman"/>
          <w:sz w:val="24"/>
          <w:szCs w:val="24"/>
        </w:rPr>
      </w:r>
    </w:p>
    <w:p>
      <w:pPr>
        <w:pStyle w:val="1195"/>
        <w:ind w:firstLine="709"/>
        <w:jc w:val="both"/>
        <w:tabs>
          <w:tab w:val="left" w:pos="5812" w:leader="none"/>
        </w:tabs>
        <w:rPr>
          <w:rFonts w:ascii="Times New Roman" w:hAnsi="Times New Roman" w:cs="Times New Roman"/>
          <w:sz w:val="18"/>
          <w:szCs w:val="24"/>
        </w:rPr>
      </w:pPr>
      <w:r>
        <w:rPr>
          <w:rFonts w:ascii="Times New Roman" w:hAnsi="Times New Roman" w:cs="Times New Roman"/>
          <w:sz w:val="18"/>
          <w:szCs w:val="24"/>
        </w:rPr>
        <w:tab/>
        <w:t xml:space="preserve">(подпись, Фамилия, Инициалы)</w:t>
      </w:r>
      <w:r>
        <w:rPr>
          <w:rFonts w:ascii="Times New Roman" w:hAnsi="Times New Roman" w:cs="Times New Roman"/>
          <w:sz w:val="18"/>
          <w:szCs w:val="24"/>
        </w:rPr>
      </w:r>
    </w:p>
    <w:p>
      <w:pPr>
        <w:pStyle w:val="1195"/>
        <w:ind w:left="4254" w:firstLine="709"/>
        <w:jc w:val="both"/>
        <w:rPr>
          <w:rFonts w:ascii="Times New Roman" w:hAnsi="Times New Roman" w:cs="Times New Roman"/>
          <w:sz w:val="24"/>
          <w:szCs w:val="24"/>
        </w:rPr>
      </w:pPr>
      <w:r>
        <w:rPr>
          <w:rFonts w:ascii="Times New Roman" w:hAnsi="Times New Roman" w:cs="Times New Roman"/>
          <w:sz w:val="24"/>
          <w:szCs w:val="24"/>
        </w:rPr>
        <w:t xml:space="preserve">«___» ___________ 20__ г.</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center"/>
        <w:rPr>
          <w:rFonts w:ascii="Times New Roman" w:hAnsi="Times New Roman" w:cs="Times New Roman"/>
          <w:sz w:val="24"/>
          <w:szCs w:val="24"/>
        </w:rPr>
      </w:pPr>
      <w:r>
        <w:rPr>
          <w:rFonts w:ascii="Times New Roman" w:hAnsi="Times New Roman" w:cs="Times New Roman"/>
          <w:sz w:val="24"/>
          <w:szCs w:val="24"/>
        </w:rPr>
        <w:t xml:space="preserve">НАРЯД-ДОПУСК</w:t>
      </w:r>
      <w:r>
        <w:rPr>
          <w:rFonts w:ascii="Times New Roman" w:hAnsi="Times New Roman" w:cs="Times New Roman"/>
          <w:sz w:val="24"/>
          <w:szCs w:val="24"/>
        </w:rPr>
      </w:r>
    </w:p>
    <w:p>
      <w:pPr>
        <w:pStyle w:val="1195"/>
        <w:jc w:val="center"/>
        <w:rPr>
          <w:rFonts w:ascii="Times New Roman" w:hAnsi="Times New Roman" w:cs="Times New Roman"/>
          <w:sz w:val="24"/>
          <w:szCs w:val="24"/>
        </w:rPr>
      </w:pPr>
      <w:r>
        <w:rPr>
          <w:rFonts w:ascii="Times New Roman" w:hAnsi="Times New Roman" w:cs="Times New Roman"/>
          <w:sz w:val="24"/>
          <w:szCs w:val="24"/>
        </w:rPr>
        <w:t xml:space="preserve">на выполнение огневых работ</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1. Выдан (кому) _______________________________________________________________</w:t>
      </w:r>
      <w:r>
        <w:rPr>
          <w:rFonts w:ascii="Times New Roman" w:hAnsi="Times New Roman" w:cs="Times New Roman"/>
          <w:sz w:val="24"/>
          <w:szCs w:val="24"/>
        </w:rPr>
      </w:r>
    </w:p>
    <w:p>
      <w:pPr>
        <w:pStyle w:val="1195"/>
        <w:ind w:firstLine="709"/>
        <w:jc w:val="both"/>
        <w:tabs>
          <w:tab w:val="left" w:pos="3544" w:leader="none"/>
        </w:tabs>
        <w:rPr>
          <w:rFonts w:ascii="Times New Roman" w:hAnsi="Times New Roman" w:cs="Times New Roman"/>
          <w:sz w:val="18"/>
          <w:szCs w:val="24"/>
        </w:rPr>
      </w:pPr>
      <w:r>
        <w:rPr>
          <w:rFonts w:ascii="Times New Roman" w:hAnsi="Times New Roman" w:cs="Times New Roman"/>
          <w:sz w:val="18"/>
          <w:szCs w:val="24"/>
        </w:rPr>
        <w:tab/>
        <w:t xml:space="preserve">(должность руководителя работ,</w:t>
      </w:r>
      <w:r>
        <w:rPr>
          <w:rFonts w:ascii="Times New Roman" w:hAnsi="Times New Roman" w:cs="Times New Roman"/>
          <w:sz w:val="18"/>
          <w:szCs w:val="24"/>
        </w:rPr>
      </w:r>
    </w:p>
    <w:p>
      <w:pPr>
        <w:pStyle w:val="1195"/>
        <w:ind w:firstLine="709"/>
        <w:jc w:val="both"/>
        <w:tabs>
          <w:tab w:val="left" w:pos="3544" w:leader="none"/>
        </w:tabs>
        <w:rPr>
          <w:rFonts w:ascii="Times New Roman" w:hAnsi="Times New Roman" w:cs="Times New Roman"/>
          <w:sz w:val="18"/>
          <w:szCs w:val="24"/>
        </w:rPr>
      </w:pPr>
      <w:r>
        <w:rPr>
          <w:rFonts w:ascii="Times New Roman" w:hAnsi="Times New Roman" w:cs="Times New Roman"/>
          <w:sz w:val="18"/>
          <w:szCs w:val="24"/>
        </w:rPr>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ответственного за проведение работ, Фамилия, Имя, Отчество, дата)</w:t>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2. На выполнение работ ________________________________________________________</w:t>
      </w:r>
      <w:r>
        <w:rPr>
          <w:rFonts w:ascii="Times New Roman" w:hAnsi="Times New Roman" w:cs="Times New Roman"/>
          <w:sz w:val="24"/>
          <w:szCs w:val="24"/>
        </w:rPr>
      </w:r>
    </w:p>
    <w:p>
      <w:pPr>
        <w:pStyle w:val="1195"/>
        <w:ind w:firstLine="709"/>
        <w:jc w:val="both"/>
        <w:tabs>
          <w:tab w:val="left" w:pos="4111" w:leader="none"/>
        </w:tabs>
        <w:rPr>
          <w:rFonts w:ascii="Times New Roman" w:hAnsi="Times New Roman" w:cs="Times New Roman"/>
          <w:sz w:val="18"/>
          <w:szCs w:val="24"/>
        </w:rPr>
      </w:pPr>
      <w:r>
        <w:rPr>
          <w:rFonts w:ascii="Times New Roman" w:hAnsi="Times New Roman" w:cs="Times New Roman"/>
          <w:sz w:val="24"/>
          <w:szCs w:val="24"/>
        </w:rPr>
        <w:tab/>
      </w:r>
      <w:r>
        <w:rPr>
          <w:rFonts w:ascii="Times New Roman" w:hAnsi="Times New Roman" w:cs="Times New Roman"/>
          <w:sz w:val="18"/>
          <w:szCs w:val="24"/>
        </w:rPr>
        <w:t xml:space="preserve">(указывается характер и содержание работы)</w:t>
      </w:r>
      <w:r>
        <w:rPr>
          <w:rFonts w:ascii="Times New Roman" w:hAnsi="Times New Roman" w:cs="Times New Roman"/>
          <w:sz w:val="18"/>
          <w:szCs w:val="24"/>
        </w:rPr>
      </w:r>
    </w:p>
    <w:p>
      <w:pPr>
        <w:pStyle w:val="1195"/>
        <w:ind w:firstLine="709"/>
        <w:jc w:val="both"/>
        <w:tabs>
          <w:tab w:val="left" w:pos="3119" w:leader="none"/>
        </w:tabs>
        <w:rPr>
          <w:rFonts w:ascii="Times New Roman" w:hAnsi="Times New Roman" w:cs="Times New Roman"/>
          <w:sz w:val="18"/>
          <w:szCs w:val="24"/>
        </w:rPr>
      </w:pPr>
      <w:r>
        <w:rPr>
          <w:rFonts w:ascii="Times New Roman" w:hAnsi="Times New Roman" w:cs="Times New Roman"/>
          <w:sz w:val="18"/>
          <w:szCs w:val="24"/>
        </w:rPr>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3. Место проведения работ </w:t>
      </w:r>
      <w:r>
        <w:rPr>
          <w:rFonts w:ascii="Times New Roman" w:hAnsi="Times New Roman" w:cs="Times New Roman"/>
          <w:sz w:val="24"/>
          <w:szCs w:val="24"/>
          <w:u w:val="single"/>
        </w:rPr>
        <w:t xml:space="preserve">_____________________________________________________</w:t>
      </w:r>
      <w:r>
        <w:rPr>
          <w:rFonts w:ascii="Times New Roman" w:hAnsi="Times New Roman" w:cs="Times New Roman"/>
          <w:sz w:val="24"/>
          <w:szCs w:val="24"/>
        </w:rPr>
      </w:r>
    </w:p>
    <w:p>
      <w:pPr>
        <w:pStyle w:val="1195"/>
        <w:ind w:firstLine="709"/>
        <w:jc w:val="both"/>
        <w:tabs>
          <w:tab w:val="left" w:pos="4395" w:leader="none"/>
        </w:tabs>
        <w:rPr>
          <w:rFonts w:ascii="Times New Roman" w:hAnsi="Times New Roman" w:cs="Times New Roman"/>
          <w:sz w:val="18"/>
          <w:szCs w:val="24"/>
        </w:rPr>
      </w:pPr>
      <w:r>
        <w:rPr>
          <w:rFonts w:ascii="Times New Roman" w:hAnsi="Times New Roman" w:cs="Times New Roman"/>
          <w:sz w:val="18"/>
          <w:szCs w:val="24"/>
        </w:rPr>
        <w:tab/>
        <w:t xml:space="preserve">(отделение, участок, установка,</w:t>
      </w:r>
      <w:r>
        <w:rPr>
          <w:rFonts w:ascii="Times New Roman" w:hAnsi="Times New Roman" w:cs="Times New Roman"/>
          <w:sz w:val="18"/>
          <w:szCs w:val="24"/>
        </w:rPr>
      </w:r>
    </w:p>
    <w:p>
      <w:pPr>
        <w:pStyle w:val="1195"/>
        <w:ind w:firstLine="709"/>
        <w:jc w:val="both"/>
        <w:tabs>
          <w:tab w:val="left" w:pos="4395" w:leader="none"/>
        </w:tabs>
        <w:rPr>
          <w:rFonts w:ascii="Times New Roman" w:hAnsi="Times New Roman" w:cs="Times New Roman"/>
          <w:sz w:val="18"/>
          <w:szCs w:val="24"/>
        </w:rPr>
      </w:pPr>
      <w:r>
        <w:rPr>
          <w:rFonts w:ascii="Times New Roman" w:hAnsi="Times New Roman" w:cs="Times New Roman"/>
          <w:sz w:val="18"/>
          <w:szCs w:val="24"/>
        </w:rPr>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аппарат, помещение)</w:t>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4. Состав исполнителей работ</w:t>
      </w:r>
      <w:r>
        <w:rPr>
          <w:rFonts w:ascii="Times New Roman" w:hAnsi="Times New Roman" w:cs="Times New Roman"/>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510"/>
        <w:gridCol w:w="1757"/>
        <w:gridCol w:w="1757"/>
        <w:gridCol w:w="1200"/>
        <w:gridCol w:w="1205"/>
        <w:gridCol w:w="2988"/>
      </w:tblGrid>
      <w:tr>
        <w:tblPrEx/>
        <w:trPr>
          <w:trHeight w:val="409"/>
        </w:trPr>
        <w:tc>
          <w:tcPr>
            <w:tcW w:w="510" w:type="dxa"/>
            <w:vAlign w:val="center"/>
            <w:vMerge w:val="restart"/>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t xml:space="preserve">№ п/п</w:t>
            </w:r>
            <w:r>
              <w:rPr>
                <w:rFonts w:ascii="Times New Roman" w:hAnsi="Times New Roman" w:cs="Times New Roman"/>
                <w:sz w:val="22"/>
                <w:szCs w:val="24"/>
              </w:rPr>
            </w:r>
          </w:p>
        </w:tc>
        <w:tc>
          <w:tcPr>
            <w:tcW w:w="1757" w:type="dxa"/>
            <w:vAlign w:val="center"/>
            <w:vMerge w:val="restart"/>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t xml:space="preserve">Ф.И.О.</w:t>
            </w:r>
            <w:r>
              <w:rPr>
                <w:rFonts w:ascii="Times New Roman" w:hAnsi="Times New Roman" w:cs="Times New Roman"/>
                <w:sz w:val="22"/>
                <w:szCs w:val="24"/>
              </w:rPr>
            </w:r>
          </w:p>
        </w:tc>
        <w:tc>
          <w:tcPr>
            <w:tcW w:w="1757" w:type="dxa"/>
            <w:vAlign w:val="center"/>
            <w:vMerge w:val="restart"/>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t xml:space="preserve">Профессия</w:t>
            </w:r>
            <w:r>
              <w:rPr>
                <w:rFonts w:ascii="Times New Roman" w:hAnsi="Times New Roman" w:cs="Times New Roman"/>
                <w:sz w:val="22"/>
                <w:szCs w:val="24"/>
              </w:rPr>
            </w:r>
          </w:p>
        </w:tc>
        <w:tc>
          <w:tcPr>
            <w:gridSpan w:val="2"/>
            <w:tcW w:w="2405" w:type="dxa"/>
            <w:vAlign w:val="center"/>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t xml:space="preserve">Инструктаж о мерах пожарной безопасности получил</w:t>
            </w:r>
            <w:r>
              <w:rPr>
                <w:rFonts w:ascii="Times New Roman" w:hAnsi="Times New Roman" w:cs="Times New Roman"/>
                <w:sz w:val="22"/>
                <w:szCs w:val="24"/>
              </w:rPr>
            </w:r>
          </w:p>
        </w:tc>
        <w:tc>
          <w:tcPr>
            <w:tcW w:w="2988" w:type="dxa"/>
            <w:vAlign w:val="center"/>
            <w:vMerge w:val="restart"/>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t xml:space="preserve">Инструктаж о мерах пожарной безопасности провел (подпись руководителя работ)</w:t>
            </w:r>
            <w:r>
              <w:rPr>
                <w:rFonts w:ascii="Times New Roman" w:hAnsi="Times New Roman" w:cs="Times New Roman"/>
                <w:sz w:val="22"/>
                <w:szCs w:val="24"/>
              </w:rPr>
            </w:r>
          </w:p>
        </w:tc>
      </w:tr>
      <w:tr>
        <w:tblPrEx/>
        <w:trPr>
          <w:trHeight w:val="154"/>
        </w:trPr>
        <w:tc>
          <w:tcPr>
            <w:tcW w:w="510" w:type="dxa"/>
            <w:vMerge w:val="continue"/>
            <w:textDirection w:val="lrTb"/>
            <w:noWrap w:val="false"/>
          </w:tcPr>
          <w:p>
            <w:r/>
            <w:r/>
          </w:p>
        </w:tc>
        <w:tc>
          <w:tcPr>
            <w:tcW w:w="1757" w:type="dxa"/>
            <w:vMerge w:val="continue"/>
            <w:textDirection w:val="lrTb"/>
            <w:noWrap w:val="false"/>
          </w:tcPr>
          <w:p>
            <w:r/>
            <w:r/>
          </w:p>
        </w:tc>
        <w:tc>
          <w:tcPr>
            <w:tcW w:w="1757" w:type="dxa"/>
            <w:vMerge w:val="continue"/>
            <w:textDirection w:val="lrTb"/>
            <w:noWrap w:val="false"/>
          </w:tcPr>
          <w:p>
            <w:r/>
            <w:r/>
          </w:p>
        </w:tc>
        <w:tc>
          <w:tcPr>
            <w:tcW w:w="1200" w:type="dxa"/>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t xml:space="preserve">подпись</w:t>
            </w:r>
            <w:r>
              <w:rPr>
                <w:rFonts w:ascii="Times New Roman" w:hAnsi="Times New Roman" w:cs="Times New Roman"/>
                <w:sz w:val="22"/>
                <w:szCs w:val="24"/>
              </w:rPr>
            </w:r>
          </w:p>
        </w:tc>
        <w:tc>
          <w:tcPr>
            <w:tcW w:w="1205" w:type="dxa"/>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t xml:space="preserve">дата</w:t>
            </w:r>
            <w:r>
              <w:rPr>
                <w:rFonts w:ascii="Times New Roman" w:hAnsi="Times New Roman" w:cs="Times New Roman"/>
                <w:sz w:val="22"/>
                <w:szCs w:val="24"/>
              </w:rPr>
            </w:r>
          </w:p>
        </w:tc>
        <w:tc>
          <w:tcPr>
            <w:tcW w:w="2988" w:type="dxa"/>
            <w:vMerge w:val="continue"/>
            <w:textDirection w:val="lrTb"/>
            <w:noWrap w:val="false"/>
          </w:tcPr>
          <w:p>
            <w:r/>
            <w:r/>
          </w:p>
        </w:tc>
      </w:tr>
      <w:tr>
        <w:tblPrEx/>
        <w:trPr/>
        <w:tc>
          <w:tcPr>
            <w:tcW w:w="510" w:type="dxa"/>
            <w:textDirection w:val="lrTb"/>
            <w:noWrap w:val="false"/>
          </w:tcPr>
          <w:p>
            <w:r/>
            <w:r/>
          </w:p>
        </w:tc>
        <w:tc>
          <w:tcPr>
            <w:tcW w:w="1757" w:type="dxa"/>
            <w:textDirection w:val="lrTb"/>
            <w:noWrap w:val="false"/>
          </w:tcPr>
          <w:p>
            <w:r/>
            <w:r/>
          </w:p>
        </w:tc>
        <w:tc>
          <w:tcPr>
            <w:tcW w:w="1757" w:type="dxa"/>
            <w:textDirection w:val="lrTb"/>
            <w:noWrap w:val="false"/>
          </w:tcPr>
          <w:p>
            <w:r/>
            <w:r/>
          </w:p>
        </w:tc>
        <w:tc>
          <w:tcPr>
            <w:tcW w:w="1200" w:type="dxa"/>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r>
            <w:r>
              <w:rPr>
                <w:rFonts w:ascii="Times New Roman" w:hAnsi="Times New Roman" w:cs="Times New Roman"/>
                <w:sz w:val="22"/>
                <w:szCs w:val="24"/>
              </w:rPr>
            </w:r>
          </w:p>
        </w:tc>
        <w:tc>
          <w:tcPr>
            <w:tcW w:w="1205" w:type="dxa"/>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r>
            <w:r>
              <w:rPr>
                <w:rFonts w:ascii="Times New Roman" w:hAnsi="Times New Roman" w:cs="Times New Roman"/>
                <w:sz w:val="22"/>
                <w:szCs w:val="24"/>
              </w:rPr>
            </w:r>
          </w:p>
        </w:tc>
        <w:tc>
          <w:tcPr>
            <w:tcW w:w="2988" w:type="dxa"/>
            <w:textDirection w:val="lrTb"/>
            <w:noWrap w:val="false"/>
          </w:tcPr>
          <w:p>
            <w:r/>
            <w:r/>
          </w:p>
        </w:tc>
      </w:tr>
      <w:tr>
        <w:tblPrEx/>
        <w:trPr/>
        <w:tc>
          <w:tcPr>
            <w:tcW w:w="510" w:type="dxa"/>
            <w:textDirection w:val="lrTb"/>
            <w:noWrap w:val="false"/>
          </w:tcPr>
          <w:p>
            <w:r/>
            <w:r/>
          </w:p>
        </w:tc>
        <w:tc>
          <w:tcPr>
            <w:tcW w:w="1757" w:type="dxa"/>
            <w:textDirection w:val="lrTb"/>
            <w:noWrap w:val="false"/>
          </w:tcPr>
          <w:p>
            <w:r/>
            <w:r/>
          </w:p>
        </w:tc>
        <w:tc>
          <w:tcPr>
            <w:tcW w:w="1757" w:type="dxa"/>
            <w:textDirection w:val="lrTb"/>
            <w:noWrap w:val="false"/>
          </w:tcPr>
          <w:p>
            <w:r/>
            <w:r/>
          </w:p>
        </w:tc>
        <w:tc>
          <w:tcPr>
            <w:tcW w:w="1200" w:type="dxa"/>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r>
            <w:r>
              <w:rPr>
                <w:rFonts w:ascii="Times New Roman" w:hAnsi="Times New Roman" w:cs="Times New Roman"/>
                <w:sz w:val="22"/>
                <w:szCs w:val="24"/>
              </w:rPr>
            </w:r>
          </w:p>
        </w:tc>
        <w:tc>
          <w:tcPr>
            <w:tcW w:w="1205" w:type="dxa"/>
            <w:textDirection w:val="lrTb"/>
            <w:noWrap w:val="false"/>
          </w:tcPr>
          <w:p>
            <w:pPr>
              <w:pStyle w:val="1194"/>
              <w:ind w:firstLine="0"/>
              <w:jc w:val="center"/>
              <w:rPr>
                <w:rFonts w:ascii="Times New Roman" w:hAnsi="Times New Roman" w:cs="Times New Roman"/>
                <w:sz w:val="22"/>
                <w:szCs w:val="24"/>
              </w:rPr>
            </w:pPr>
            <w:r>
              <w:rPr>
                <w:rFonts w:ascii="Times New Roman" w:hAnsi="Times New Roman" w:cs="Times New Roman"/>
                <w:sz w:val="22"/>
                <w:szCs w:val="24"/>
              </w:rPr>
            </w:r>
            <w:r>
              <w:rPr>
                <w:rFonts w:ascii="Times New Roman" w:hAnsi="Times New Roman" w:cs="Times New Roman"/>
                <w:sz w:val="22"/>
                <w:szCs w:val="24"/>
              </w:rPr>
            </w:r>
          </w:p>
        </w:tc>
        <w:tc>
          <w:tcPr>
            <w:tcW w:w="2988" w:type="dxa"/>
            <w:textDirection w:val="lrTb"/>
            <w:noWrap w:val="false"/>
          </w:tcPr>
          <w:p>
            <w:r/>
            <w:r/>
          </w:p>
        </w:tc>
      </w:tr>
    </w:tbl>
    <w:p>
      <w:pPr>
        <w:pStyle w:val="1194"/>
        <w:ind w:firstLine="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5. Планируемое время проведения работ:</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Начало _______________ время ___________ дата</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Окончание </w:t>
      </w:r>
      <w:r>
        <w:rPr>
          <w:rFonts w:ascii="Times New Roman" w:hAnsi="Times New Roman" w:cs="Times New Roman"/>
          <w:sz w:val="24"/>
          <w:szCs w:val="24"/>
          <w:u w:val="single"/>
        </w:rPr>
        <w:t xml:space="preserve">____________</w:t>
      </w:r>
      <w:r>
        <w:rPr>
          <w:rFonts w:ascii="Times New Roman" w:hAnsi="Times New Roman" w:cs="Times New Roman"/>
          <w:sz w:val="24"/>
          <w:szCs w:val="24"/>
        </w:rPr>
        <w:t xml:space="preserve"> время </w:t>
      </w:r>
      <w:r>
        <w:rPr>
          <w:rFonts w:ascii="Times New Roman" w:hAnsi="Times New Roman" w:cs="Times New Roman"/>
          <w:sz w:val="24"/>
          <w:szCs w:val="24"/>
          <w:u w:val="single"/>
        </w:rPr>
        <w:t xml:space="preserve">___________</w:t>
      </w:r>
      <w:r>
        <w:rPr>
          <w:rFonts w:ascii="Times New Roman" w:hAnsi="Times New Roman" w:cs="Times New Roman"/>
          <w:sz w:val="24"/>
          <w:szCs w:val="24"/>
        </w:rPr>
        <w:t xml:space="preserve"> дата</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6. Меры по обеспечению пожарной безопасности места (мест) проведения работ 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18"/>
        </w:rPr>
        <w:pBdr>
          <w:top w:val="single" w:color="000000" w:sz="4" w:space="1"/>
        </w:pBdr>
      </w:pPr>
      <w:r>
        <w:rPr>
          <w:rFonts w:ascii="Times New Roman" w:hAnsi="Times New Roman" w:cs="Times New Roman"/>
          <w:sz w:val="18"/>
          <w:szCs w:val="18"/>
        </w:rPr>
        <w:t xml:space="preserve">(указываются организационные и технические меры пожарной безопасности,</w:t>
      </w:r>
      <w:r>
        <w:rPr>
          <w:rFonts w:ascii="Times New Roman" w:hAnsi="Times New Roman" w:cs="Times New Roman"/>
          <w:sz w:val="18"/>
          <w:szCs w:val="18"/>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осуществляемые при подготовке места проведения работ, в период проведения и после окончания работ)</w:t>
      </w:r>
      <w:r>
        <w:rPr>
          <w:rFonts w:ascii="Times New Roman" w:hAnsi="Times New Roman" w:cs="Times New Roman"/>
          <w:sz w:val="18"/>
          <w:szCs w:val="24"/>
        </w:rPr>
      </w:r>
    </w:p>
    <w:p>
      <w:pPr>
        <w:pStyle w:val="1195"/>
        <w:jc w:val="center"/>
        <w:rPr>
          <w:rFonts w:ascii="Times New Roman" w:hAnsi="Times New Roman" w:cs="Times New Roman"/>
          <w:sz w:val="18"/>
          <w:szCs w:val="24"/>
        </w:rPr>
      </w:pPr>
      <w:r>
        <w:rPr>
          <w:rFonts w:ascii="Times New Roman" w:hAnsi="Times New Roman" w:cs="Times New Roman"/>
          <w:sz w:val="18"/>
          <w:szCs w:val="24"/>
        </w:rPr>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7. Наряд-допуск выдан </w:t>
      </w:r>
      <w:r>
        <w:rPr>
          <w:rFonts w:ascii="Times New Roman" w:hAnsi="Times New Roman" w:cs="Times New Roman"/>
          <w:sz w:val="28"/>
          <w:szCs w:val="24"/>
        </w:rPr>
        <w:t xml:space="preserve">_</w:t>
      </w:r>
      <w:r>
        <w:rPr>
          <w:rFonts w:ascii="Times New Roman" w:hAnsi="Times New Roman" w:cs="Times New Roman"/>
          <w:sz w:val="24"/>
          <w:szCs w:val="24"/>
        </w:rPr>
        <w:t xml:space="preserve">________________________________________________________</w:t>
      </w:r>
      <w:r>
        <w:rPr>
          <w:rFonts w:ascii="Times New Roman" w:hAnsi="Times New Roman" w:cs="Times New Roman"/>
          <w:sz w:val="24"/>
          <w:szCs w:val="24"/>
        </w:rPr>
      </w:r>
    </w:p>
    <w:p>
      <w:pPr>
        <w:pStyle w:val="1195"/>
        <w:ind w:firstLine="709"/>
        <w:jc w:val="both"/>
        <w:tabs>
          <w:tab w:val="left" w:pos="2552" w:leader="none"/>
        </w:tabs>
        <w:rPr>
          <w:rFonts w:ascii="Times New Roman" w:hAnsi="Times New Roman" w:cs="Times New Roman"/>
          <w:sz w:val="18"/>
          <w:szCs w:val="18"/>
        </w:rPr>
      </w:pPr>
      <w:r>
        <w:rPr>
          <w:rFonts w:ascii="Times New Roman" w:hAnsi="Times New Roman" w:cs="Times New Roman"/>
          <w:sz w:val="18"/>
          <w:szCs w:val="18"/>
        </w:rPr>
        <w:tab/>
        <w:t xml:space="preserve">(должность, Фамилия, Имя, Отчество лица, выдавшего наряд-допуск, подпись, дата)</w:t>
      </w:r>
      <w:r>
        <w:rPr>
          <w:rFonts w:ascii="Times New Roman" w:hAnsi="Times New Roman" w:cs="Times New Roman"/>
          <w:sz w:val="18"/>
          <w:szCs w:val="18"/>
        </w:rPr>
      </w:r>
    </w:p>
    <w:p>
      <w:pPr>
        <w:pStyle w:val="1195"/>
        <w:jc w:val="both"/>
        <w:rPr>
          <w:rFonts w:ascii="Times New Roman" w:hAnsi="Times New Roman" w:cs="Times New Roman"/>
          <w:sz w:val="18"/>
          <w:szCs w:val="24"/>
        </w:rPr>
      </w:pPr>
      <w:r>
        <w:rPr>
          <w:rFonts w:ascii="Times New Roman" w:hAnsi="Times New Roman" w:cs="Times New Roman"/>
          <w:sz w:val="18"/>
          <w:szCs w:val="24"/>
        </w:rPr>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Наряд-допуск получен _________________________________________________________</w:t>
      </w:r>
      <w:r>
        <w:rPr>
          <w:rFonts w:ascii="Times New Roman" w:hAnsi="Times New Roman" w:cs="Times New Roman"/>
          <w:sz w:val="24"/>
          <w:szCs w:val="24"/>
        </w:rPr>
      </w:r>
    </w:p>
    <w:p>
      <w:pPr>
        <w:pStyle w:val="1195"/>
        <w:ind w:firstLine="709"/>
        <w:jc w:val="both"/>
        <w:tabs>
          <w:tab w:val="left" w:pos="3969" w:leader="none"/>
        </w:tabs>
        <w:rPr>
          <w:rFonts w:ascii="Times New Roman" w:hAnsi="Times New Roman" w:cs="Times New Roman"/>
          <w:sz w:val="18"/>
          <w:szCs w:val="24"/>
        </w:rPr>
      </w:pPr>
      <w:r>
        <w:rPr>
          <w:rFonts w:ascii="Times New Roman" w:hAnsi="Times New Roman" w:cs="Times New Roman"/>
          <w:sz w:val="18"/>
          <w:szCs w:val="24"/>
        </w:rPr>
        <w:tab/>
        <w:t xml:space="preserve">(подпись руководителя работ, дата)</w:t>
      </w:r>
      <w:r>
        <w:rPr>
          <w:rFonts w:ascii="Times New Roman" w:hAnsi="Times New Roman" w:cs="Times New Roman"/>
          <w:sz w:val="18"/>
          <w:szCs w:val="24"/>
        </w:rPr>
      </w:r>
    </w:p>
    <w:p>
      <w:pPr>
        <w:pStyle w:val="1195"/>
        <w:ind w:firstLine="709"/>
        <w:jc w:val="both"/>
        <w:tabs>
          <w:tab w:val="left" w:pos="3969" w:leader="none"/>
        </w:tabs>
        <w:rPr>
          <w:rFonts w:ascii="Times New Roman" w:hAnsi="Times New Roman" w:cs="Times New Roman"/>
          <w:sz w:val="18"/>
          <w:szCs w:val="24"/>
        </w:rPr>
      </w:pPr>
      <w:r>
        <w:rPr>
          <w:rFonts w:ascii="Times New Roman" w:hAnsi="Times New Roman" w:cs="Times New Roman"/>
          <w:sz w:val="18"/>
          <w:szCs w:val="24"/>
        </w:rPr>
      </w:r>
      <w:r>
        <w:rPr>
          <w:rFonts w:ascii="Times New Roman" w:hAnsi="Times New Roman" w:cs="Times New Roman"/>
          <w:sz w:val="18"/>
          <w:szCs w:val="24"/>
        </w:rPr>
      </w:r>
    </w:p>
    <w:p>
      <w:pPr>
        <w:pStyle w:val="1195"/>
        <w:jc w:val="both"/>
        <w:tabs>
          <w:tab w:val="left" w:pos="3119" w:leader="none"/>
        </w:tabs>
        <w:rPr>
          <w:rFonts w:ascii="Times New Roman" w:hAnsi="Times New Roman" w:cs="Times New Roman"/>
          <w:sz w:val="24"/>
          <w:szCs w:val="24"/>
        </w:rPr>
      </w:pPr>
      <w:r>
        <w:rPr>
          <w:rFonts w:ascii="Times New Roman" w:hAnsi="Times New Roman" w:cs="Times New Roman"/>
          <w:sz w:val="24"/>
          <w:szCs w:val="24"/>
        </w:rPr>
        <w:t xml:space="preserve">Согласовано </w:t>
      </w:r>
      <w:r>
        <w:rPr>
          <w:rFonts w:ascii="Times New Roman" w:hAnsi="Times New Roman" w:cs="Times New Roman"/>
          <w:sz w:val="24"/>
          <w:szCs w:val="24"/>
        </w:rPr>
        <w:tab/>
        <w:t xml:space="preserve">_</w:t>
      </w:r>
      <w:r>
        <w:rPr>
          <w:rFonts w:ascii="Times New Roman" w:hAnsi="Times New Roman" w:cs="Times New Roman"/>
          <w:sz w:val="24"/>
          <w:szCs w:val="24"/>
          <w:u w:val="single"/>
        </w:rPr>
        <w:t xml:space="preserve">__________________________________________________</w:t>
      </w:r>
      <w:r>
        <w:rPr>
          <w:rFonts w:ascii="Times New Roman" w:hAnsi="Times New Roman" w:cs="Times New Roman"/>
          <w:sz w:val="24"/>
          <w:szCs w:val="24"/>
        </w:rPr>
      </w:r>
    </w:p>
    <w:p>
      <w:pPr>
        <w:pStyle w:val="1195"/>
        <w:jc w:val="both"/>
        <w:tabs>
          <w:tab w:val="left" w:pos="5245" w:leader="none"/>
        </w:tabs>
        <w:rPr>
          <w:rFonts w:ascii="Times New Roman" w:hAnsi="Times New Roman" w:cs="Times New Roman"/>
          <w:sz w:val="18"/>
          <w:szCs w:val="24"/>
        </w:rPr>
      </w:pPr>
      <w:r>
        <w:rPr>
          <w:rFonts w:ascii="Times New Roman" w:hAnsi="Times New Roman" w:cs="Times New Roman"/>
          <w:sz w:val="24"/>
          <w:szCs w:val="24"/>
        </w:rPr>
        <w:t xml:space="preserve">со службами объекта,</w:t>
      </w:r>
      <w:r>
        <w:rPr>
          <w:rFonts w:ascii="Times New Roman" w:hAnsi="Times New Roman" w:cs="Times New Roman"/>
          <w:sz w:val="24"/>
          <w:szCs w:val="24"/>
        </w:rPr>
        <w:tab/>
      </w:r>
      <w:r>
        <w:rPr>
          <w:rFonts w:ascii="Times New Roman" w:hAnsi="Times New Roman" w:cs="Times New Roman"/>
          <w:sz w:val="18"/>
          <w:szCs w:val="24"/>
        </w:rPr>
        <w:t xml:space="preserve">(название службы)</w:t>
      </w:r>
      <w:r>
        <w:rPr>
          <w:rFonts w:ascii="Times New Roman" w:hAnsi="Times New Roman" w:cs="Times New Roman"/>
          <w:sz w:val="18"/>
          <w:szCs w:val="24"/>
        </w:rPr>
      </w:r>
    </w:p>
    <w:p>
      <w:pPr>
        <w:pStyle w:val="1195"/>
        <w:jc w:val="both"/>
        <w:tabs>
          <w:tab w:val="left" w:pos="3119" w:leader="none"/>
        </w:tabs>
        <w:rPr>
          <w:rFonts w:ascii="Times New Roman" w:hAnsi="Times New Roman" w:cs="Times New Roman"/>
          <w:sz w:val="24"/>
          <w:szCs w:val="24"/>
        </w:rPr>
      </w:pPr>
      <w:r>
        <w:rPr>
          <w:rFonts w:ascii="Times New Roman" w:hAnsi="Times New Roman" w:cs="Times New Roman"/>
          <w:sz w:val="24"/>
          <w:szCs w:val="24"/>
        </w:rPr>
        <w:t xml:space="preserve">на котором будут </w:t>
      </w:r>
      <w:r>
        <w:rPr>
          <w:rFonts w:ascii="Times New Roman" w:hAnsi="Times New Roman" w:cs="Times New Roman"/>
          <w:sz w:val="24"/>
          <w:szCs w:val="24"/>
        </w:rPr>
        <w:tab/>
        <w:t xml:space="preserve">___________________________________________________</w:t>
      </w:r>
      <w:r>
        <w:rPr>
          <w:rFonts w:ascii="Times New Roman" w:hAnsi="Times New Roman" w:cs="Times New Roman"/>
          <w:sz w:val="24"/>
          <w:szCs w:val="24"/>
        </w:rPr>
      </w:r>
    </w:p>
    <w:p>
      <w:pPr>
        <w:pStyle w:val="1195"/>
        <w:jc w:val="both"/>
        <w:tabs>
          <w:tab w:val="left" w:pos="5387" w:leader="none"/>
        </w:tabs>
        <w:rPr>
          <w:rFonts w:ascii="Times New Roman" w:hAnsi="Times New Roman" w:cs="Times New Roman"/>
          <w:sz w:val="18"/>
          <w:szCs w:val="24"/>
        </w:rPr>
      </w:pPr>
      <w:r>
        <w:rPr>
          <w:rFonts w:ascii="Times New Roman" w:hAnsi="Times New Roman" w:cs="Times New Roman"/>
          <w:sz w:val="24"/>
          <w:szCs w:val="24"/>
        </w:rPr>
        <w:t xml:space="preserve">производиться огневые</w:t>
      </w:r>
      <w:r>
        <w:rPr>
          <w:rFonts w:ascii="Times New Roman" w:hAnsi="Times New Roman" w:cs="Times New Roman"/>
          <w:sz w:val="24"/>
          <w:szCs w:val="24"/>
        </w:rPr>
        <w:tab/>
        <w:t xml:space="preserve">(</w:t>
      </w:r>
      <w:r>
        <w:rPr>
          <w:rFonts w:ascii="Times New Roman" w:hAnsi="Times New Roman" w:cs="Times New Roman"/>
          <w:sz w:val="18"/>
          <w:szCs w:val="24"/>
        </w:rPr>
        <w:t xml:space="preserve">должность, </w:t>
      </w:r>
      <w:r>
        <w:rPr>
          <w:rFonts w:ascii="Times New Roman" w:hAnsi="Times New Roman" w:cs="Times New Roman"/>
          <w:sz w:val="18"/>
          <w:szCs w:val="24"/>
        </w:rPr>
      </w:r>
    </w:p>
    <w:p>
      <w:pPr>
        <w:pStyle w:val="1195"/>
        <w:jc w:val="both"/>
        <w:tabs>
          <w:tab w:val="left" w:pos="3119" w:leader="none"/>
        </w:tabs>
        <w:rPr>
          <w:rFonts w:ascii="Times New Roman" w:hAnsi="Times New Roman" w:cs="Times New Roman"/>
          <w:sz w:val="24"/>
          <w:szCs w:val="24"/>
        </w:rPr>
      </w:pPr>
      <w:r>
        <w:rPr>
          <w:rFonts w:ascii="Times New Roman" w:hAnsi="Times New Roman" w:cs="Times New Roman"/>
          <w:sz w:val="24"/>
          <w:szCs w:val="24"/>
        </w:rPr>
        <w:t xml:space="preserve">работы</w:t>
      </w:r>
      <w:r>
        <w:rPr>
          <w:rFonts w:ascii="Times New Roman" w:hAnsi="Times New Roman" w:cs="Times New Roman"/>
          <w:sz w:val="24"/>
          <w:szCs w:val="24"/>
        </w:rPr>
        <w:tab/>
        <w:t xml:space="preserve">___________________________________________________</w:t>
      </w:r>
      <w:r>
        <w:rPr>
          <w:rFonts w:ascii="Times New Roman" w:hAnsi="Times New Roman" w:cs="Times New Roman"/>
          <w:sz w:val="24"/>
          <w:szCs w:val="24"/>
        </w:rPr>
      </w:r>
    </w:p>
    <w:p>
      <w:pPr>
        <w:pStyle w:val="1195"/>
        <w:ind w:firstLine="709"/>
        <w:jc w:val="both"/>
        <w:tabs>
          <w:tab w:val="left" w:pos="3686" w:leader="none"/>
        </w:tabs>
        <w:rPr>
          <w:rFonts w:ascii="Times New Roman" w:hAnsi="Times New Roman" w:cs="Times New Roman"/>
          <w:sz w:val="24"/>
          <w:szCs w:val="24"/>
        </w:rPr>
      </w:pPr>
      <w:r>
        <w:rPr>
          <w:rFonts w:ascii="Times New Roman" w:hAnsi="Times New Roman" w:cs="Times New Roman"/>
          <w:sz w:val="18"/>
          <w:szCs w:val="24"/>
        </w:rPr>
        <w:tab/>
        <w:t xml:space="preserve">Фамилия, Имя, Отчество ответственного лица, подпись, дата)</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8. Место проведения работ подготовлено:</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Руководитель работ __</w:t>
      </w:r>
      <w:r>
        <w:rPr>
          <w:rFonts w:ascii="Times New Roman" w:hAnsi="Times New Roman" w:cs="Times New Roman"/>
          <w:sz w:val="24"/>
          <w:szCs w:val="24"/>
          <w:u w:val="single"/>
        </w:rPr>
        <w:t xml:space="preserve">___________________________  _____________________________</w:t>
      </w:r>
      <w:r>
        <w:rPr>
          <w:rFonts w:ascii="Times New Roman" w:hAnsi="Times New Roman" w:cs="Times New Roman"/>
          <w:sz w:val="24"/>
          <w:szCs w:val="24"/>
        </w:rPr>
        <w:t xml:space="preserve">_</w:t>
      </w:r>
      <w:r>
        <w:rPr>
          <w:rFonts w:ascii="Times New Roman" w:hAnsi="Times New Roman" w:cs="Times New Roman"/>
          <w:sz w:val="24"/>
          <w:szCs w:val="24"/>
        </w:rPr>
      </w:r>
    </w:p>
    <w:p>
      <w:pPr>
        <w:pStyle w:val="1195"/>
        <w:ind w:firstLine="709"/>
        <w:jc w:val="both"/>
        <w:tabs>
          <w:tab w:val="left" w:pos="4536" w:leader="none"/>
        </w:tabs>
        <w:rPr>
          <w:rFonts w:ascii="Times New Roman" w:hAnsi="Times New Roman" w:cs="Times New Roman"/>
          <w:sz w:val="18"/>
          <w:szCs w:val="24"/>
        </w:rPr>
      </w:pPr>
      <w:r>
        <w:rPr>
          <w:rFonts w:ascii="Times New Roman" w:hAnsi="Times New Roman" w:cs="Times New Roman"/>
          <w:sz w:val="18"/>
          <w:szCs w:val="24"/>
        </w:rPr>
        <w:tab/>
        <w:t xml:space="preserve">(подпись, дата, время)</w:t>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Возможность производства работ согласована (в соответствии с </w:t>
      </w:r>
      <w:hyperlink w:tooltip="#P1747" w:anchor="P1747" w:history="1">
        <w:r>
          <w:rPr>
            <w:rFonts w:ascii="Times New Roman" w:hAnsi="Times New Roman" w:cs="Times New Roman"/>
            <w:sz w:val="24"/>
            <w:szCs w:val="24"/>
          </w:rPr>
          <w:t xml:space="preserve">пунктом 7</w:t>
        </w:r>
      </w:hyperlink>
      <w:r>
        <w:rPr>
          <w:rFonts w:ascii="Times New Roman" w:hAnsi="Times New Roman" w:cs="Times New Roman"/>
          <w:sz w:val="24"/>
          <w:szCs w:val="24"/>
        </w:rPr>
        <w:t xml:space="preserve">)</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(подпись ответственного лица службы объекта, на котором проводится работа, дата, время)</w:t>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9. Ежедневный допуск к работе и время ее окончания</w:t>
      </w:r>
      <w:r>
        <w:rPr>
          <w:rFonts w:ascii="Times New Roman" w:hAnsi="Times New Roman" w:cs="Times New Roman"/>
          <w:sz w:val="24"/>
          <w:szCs w:val="24"/>
        </w:rPr>
      </w:r>
    </w:p>
    <w:p>
      <w:pPr>
        <w:pStyle w:val="1194"/>
        <w:ind w:firstLine="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998"/>
        <w:gridCol w:w="1594"/>
        <w:gridCol w:w="3118"/>
        <w:gridCol w:w="1298"/>
        <w:gridCol w:w="2410"/>
      </w:tblGrid>
      <w:tr>
        <w:tblPrEx/>
        <w:trPr/>
        <w:tc>
          <w:tcPr>
            <w:gridSpan w:val="3"/>
            <w:tcW w:w="5710" w:type="dxa"/>
            <w:vAlign w:val="center"/>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t xml:space="preserve">Рабочее место подготовлено, исполнители допущены к работе</w:t>
            </w:r>
            <w:r>
              <w:rPr>
                <w:rFonts w:ascii="Times New Roman" w:hAnsi="Times New Roman" w:cs="Times New Roman"/>
                <w:sz w:val="24"/>
                <w:szCs w:val="24"/>
              </w:rPr>
            </w:r>
          </w:p>
        </w:tc>
        <w:tc>
          <w:tcPr>
            <w:gridSpan w:val="2"/>
            <w:tcW w:w="3708" w:type="dxa"/>
            <w:vAlign w:val="center"/>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t xml:space="preserve">Работа закончена, исполнители удалены с рабочего места</w:t>
            </w:r>
            <w:r>
              <w:rPr>
                <w:rFonts w:ascii="Times New Roman" w:hAnsi="Times New Roman" w:cs="Times New Roman"/>
                <w:sz w:val="24"/>
                <w:szCs w:val="24"/>
              </w:rPr>
            </w:r>
          </w:p>
        </w:tc>
      </w:tr>
      <w:tr>
        <w:tblPrEx/>
        <w:trPr/>
        <w:tc>
          <w:tcPr>
            <w:tcW w:w="998" w:type="dxa"/>
            <w:vAlign w:val="center"/>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t xml:space="preserve">дата, время</w:t>
            </w:r>
            <w:r>
              <w:rPr>
                <w:rFonts w:ascii="Times New Roman" w:hAnsi="Times New Roman" w:cs="Times New Roman"/>
                <w:sz w:val="24"/>
                <w:szCs w:val="24"/>
              </w:rPr>
            </w:r>
          </w:p>
        </w:tc>
        <w:tc>
          <w:tcPr>
            <w:tcW w:w="1594" w:type="dxa"/>
            <w:vAlign w:val="center"/>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t xml:space="preserve">подпись руководителя работ</w:t>
            </w:r>
            <w:r>
              <w:rPr>
                <w:rFonts w:ascii="Times New Roman" w:hAnsi="Times New Roman" w:cs="Times New Roman"/>
                <w:sz w:val="24"/>
                <w:szCs w:val="24"/>
              </w:rPr>
            </w:r>
          </w:p>
        </w:tc>
        <w:tc>
          <w:tcPr>
            <w:tcW w:w="3118" w:type="dxa"/>
            <w:vAlign w:val="center"/>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t xml:space="preserve">подпись ответственного лица службы объекта, на котором проводится работа (в соответствии с </w:t>
            </w:r>
            <w:hyperlink w:tooltip="#P1747" w:anchor="P1747" w:history="1">
              <w:r>
                <w:rPr>
                  <w:rFonts w:ascii="Times New Roman" w:hAnsi="Times New Roman" w:cs="Times New Roman"/>
                  <w:sz w:val="24"/>
                  <w:szCs w:val="24"/>
                </w:rPr>
                <w:t xml:space="preserve">пунктом 7</w:t>
              </w:r>
            </w:hyperlink>
            <w:r>
              <w:rPr>
                <w:rFonts w:ascii="Times New Roman" w:hAnsi="Times New Roman" w:cs="Times New Roman"/>
                <w:sz w:val="24"/>
                <w:szCs w:val="24"/>
              </w:rPr>
              <w:t xml:space="preserve">)</w:t>
            </w:r>
            <w:r>
              <w:rPr>
                <w:rFonts w:ascii="Times New Roman" w:hAnsi="Times New Roman" w:cs="Times New Roman"/>
                <w:sz w:val="24"/>
                <w:szCs w:val="24"/>
              </w:rPr>
            </w:r>
          </w:p>
        </w:tc>
        <w:tc>
          <w:tcPr>
            <w:tcW w:w="1298" w:type="dxa"/>
            <w:vAlign w:val="center"/>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t xml:space="preserve">дата, время</w:t>
            </w:r>
            <w:r>
              <w:rPr>
                <w:rFonts w:ascii="Times New Roman" w:hAnsi="Times New Roman" w:cs="Times New Roman"/>
                <w:sz w:val="24"/>
                <w:szCs w:val="24"/>
              </w:rPr>
            </w:r>
          </w:p>
        </w:tc>
        <w:tc>
          <w:tcPr>
            <w:tcW w:w="2410" w:type="dxa"/>
            <w:vAlign w:val="center"/>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t xml:space="preserve">подпись руководителя работ</w:t>
            </w:r>
            <w:r>
              <w:rPr>
                <w:rFonts w:ascii="Times New Roman" w:hAnsi="Times New Roman" w:cs="Times New Roman"/>
                <w:sz w:val="24"/>
                <w:szCs w:val="24"/>
              </w:rPr>
            </w:r>
          </w:p>
        </w:tc>
      </w:tr>
      <w:tr>
        <w:tblPrEx/>
        <w:trPr/>
        <w:tc>
          <w:tcPr>
            <w:tcW w:w="998"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594"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298"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2410"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r>
      <w:tr>
        <w:tblPrEx/>
        <w:trPr/>
        <w:tc>
          <w:tcPr>
            <w:tcW w:w="998"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594"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1298"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c>
          <w:tcPr>
            <w:tcW w:w="2410" w:type="dxa"/>
            <w:textDirection w:val="lrTb"/>
            <w:noWrap w:val="false"/>
          </w:tcPr>
          <w:p>
            <w:pPr>
              <w:pStyle w:val="1194"/>
              <w:ind w:firstLine="0"/>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tc>
      </w:tr>
    </w:tbl>
    <w:p>
      <w:pPr>
        <w:pStyle w:val="1194"/>
        <w:ind w:firstLine="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10. Продление наряда-допуска согласовано (в соответствии с </w:t>
      </w:r>
      <w:hyperlink w:tooltip="#P1747" w:anchor="P1747" w:history="1">
        <w:r>
          <w:rPr>
            <w:rFonts w:ascii="Times New Roman" w:hAnsi="Times New Roman" w:cs="Times New Roman"/>
            <w:sz w:val="24"/>
            <w:szCs w:val="24"/>
          </w:rPr>
          <w:t xml:space="preserve">пунктом 7</w:t>
        </w:r>
      </w:hyperlink>
      <w:r>
        <w:rPr>
          <w:rFonts w:ascii="Times New Roman" w:hAnsi="Times New Roman" w:cs="Times New Roman"/>
          <w:sz w:val="24"/>
          <w:szCs w:val="24"/>
        </w:rPr>
        <w:t xml:space="preserve">)</w:t>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(название службы, должность ответственного,</w:t>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18"/>
        </w:rPr>
      </w:pPr>
      <w:r>
        <w:rPr>
          <w:rFonts w:ascii="Times New Roman" w:hAnsi="Times New Roman" w:cs="Times New Roman"/>
          <w:sz w:val="18"/>
          <w:szCs w:val="18"/>
        </w:rPr>
        <w:t xml:space="preserve">Фамилия, Имя, Отчество, подпись, дата)</w:t>
      </w:r>
      <w:r>
        <w:rPr>
          <w:rFonts w:ascii="Times New Roman" w:hAnsi="Times New Roman" w:cs="Times New Roman"/>
          <w:sz w:val="18"/>
          <w:szCs w:val="18"/>
        </w:rPr>
      </w:r>
    </w:p>
    <w:p>
      <w:pPr>
        <w:pStyle w:val="1195"/>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11. Изменение состава бригады исполнителей</w:t>
      </w:r>
      <w:r>
        <w:rPr>
          <w:rFonts w:ascii="Times New Roman" w:hAnsi="Times New Roman" w:cs="Times New Roman"/>
          <w:sz w:val="24"/>
          <w:szCs w:val="24"/>
        </w:rPr>
      </w:r>
    </w:p>
    <w:tbl>
      <w:tblPr>
        <w:tblW w:w="94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1196"/>
        <w:gridCol w:w="1444"/>
        <w:gridCol w:w="966"/>
        <w:gridCol w:w="1134"/>
        <w:gridCol w:w="709"/>
        <w:gridCol w:w="992"/>
        <w:gridCol w:w="992"/>
        <w:gridCol w:w="993"/>
        <w:gridCol w:w="992"/>
      </w:tblGrid>
      <w:tr>
        <w:tblPrEx/>
        <w:trPr/>
        <w:tc>
          <w:tcPr>
            <w:gridSpan w:val="5"/>
            <w:tcW w:w="5449" w:type="dxa"/>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Введен в состав бригады</w:t>
            </w:r>
            <w:r>
              <w:rPr>
                <w:rFonts w:ascii="Times New Roman" w:hAnsi="Times New Roman" w:cs="Times New Roman"/>
                <w:szCs w:val="24"/>
              </w:rPr>
            </w:r>
          </w:p>
        </w:tc>
        <w:tc>
          <w:tcPr>
            <w:gridSpan w:val="3"/>
            <w:tcW w:w="2977" w:type="dxa"/>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Выведен из состава бригады</w:t>
            </w:r>
            <w:r>
              <w:rPr>
                <w:rFonts w:ascii="Times New Roman" w:hAnsi="Times New Roman" w:cs="Times New Roman"/>
                <w:szCs w:val="24"/>
              </w:rPr>
            </w:r>
          </w:p>
        </w:tc>
        <w:tc>
          <w:tcPr>
            <w:tcW w:w="992" w:type="dxa"/>
            <w:vMerge w:val="restart"/>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Руководитель работ (подпись)</w:t>
            </w:r>
            <w:r>
              <w:rPr>
                <w:rFonts w:ascii="Times New Roman" w:hAnsi="Times New Roman" w:cs="Times New Roman"/>
                <w:szCs w:val="24"/>
              </w:rPr>
            </w:r>
          </w:p>
        </w:tc>
      </w:tr>
      <w:tr>
        <w:tblPrEx/>
        <w:trPr/>
        <w:tc>
          <w:tcPr>
            <w:tcW w:w="1196"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Фамилия,</w:t>
            </w:r>
            <w:r>
              <w:rPr>
                <w:rFonts w:ascii="Times New Roman" w:hAnsi="Times New Roman" w:cs="Times New Roman"/>
                <w:szCs w:val="24"/>
              </w:rPr>
              <w:br w:type="textWrapping" w:clear="all"/>
              <w:t xml:space="preserve">Инициалы</w:t>
            </w:r>
            <w:r>
              <w:rPr>
                <w:rFonts w:ascii="Times New Roman" w:hAnsi="Times New Roman" w:cs="Times New Roman"/>
                <w:szCs w:val="24"/>
              </w:rPr>
            </w:r>
          </w:p>
        </w:tc>
        <w:tc>
          <w:tcPr>
            <w:tcW w:w="1444"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с условиями работы ознакомлен, проинструктирован (подпись)</w:t>
            </w:r>
            <w:r>
              <w:rPr>
                <w:rFonts w:ascii="Times New Roman" w:hAnsi="Times New Roman" w:cs="Times New Roman"/>
                <w:szCs w:val="24"/>
              </w:rPr>
            </w:r>
          </w:p>
        </w:tc>
        <w:tc>
          <w:tcPr>
            <w:tcW w:w="966"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квалификация, разряд,</w:t>
            </w:r>
            <w:r>
              <w:rPr>
                <w:rFonts w:ascii="Times New Roman" w:hAnsi="Times New Roman" w:cs="Times New Roman"/>
                <w:szCs w:val="24"/>
              </w:rPr>
            </w:r>
          </w:p>
        </w:tc>
        <w:tc>
          <w:tcPr>
            <w:tcW w:w="1134"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выполняемая функция</w:t>
            </w:r>
            <w:r>
              <w:rPr>
                <w:rFonts w:ascii="Times New Roman" w:hAnsi="Times New Roman" w:cs="Times New Roman"/>
                <w:szCs w:val="24"/>
              </w:rPr>
            </w:r>
          </w:p>
        </w:tc>
        <w:tc>
          <w:tcPr>
            <w:tcW w:w="709"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дата, время</w:t>
            </w:r>
            <w:r>
              <w:rPr>
                <w:rFonts w:ascii="Times New Roman" w:hAnsi="Times New Roman" w:cs="Times New Roman"/>
                <w:szCs w:val="24"/>
              </w:rPr>
            </w:r>
          </w:p>
        </w:tc>
        <w:tc>
          <w:tcPr>
            <w:tcW w:w="992"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Фамилия,</w:t>
            </w:r>
            <w:r>
              <w:rPr>
                <w:rFonts w:ascii="Times New Roman" w:hAnsi="Times New Roman" w:cs="Times New Roman"/>
                <w:szCs w:val="24"/>
              </w:rPr>
              <w:br w:type="textWrapping" w:clear="all"/>
              <w:t xml:space="preserve">Инициалы</w:t>
            </w:r>
            <w:r>
              <w:rPr>
                <w:rFonts w:ascii="Times New Roman" w:hAnsi="Times New Roman" w:cs="Times New Roman"/>
                <w:szCs w:val="24"/>
              </w:rPr>
            </w:r>
          </w:p>
        </w:tc>
        <w:tc>
          <w:tcPr>
            <w:tcW w:w="992"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дата, время</w:t>
            </w:r>
            <w:r>
              <w:rPr>
                <w:rFonts w:ascii="Times New Roman" w:hAnsi="Times New Roman" w:cs="Times New Roman"/>
                <w:szCs w:val="24"/>
              </w:rPr>
            </w:r>
          </w:p>
        </w:tc>
        <w:tc>
          <w:tcPr>
            <w:tcW w:w="993" w:type="dxa"/>
            <w:vAlign w:val="center"/>
            <w:textDirection w:val="lrTb"/>
            <w:noWrap w:val="false"/>
          </w:tcPr>
          <w:p>
            <w:pPr>
              <w:pStyle w:val="1194"/>
              <w:ind w:firstLine="0"/>
              <w:jc w:val="center"/>
              <w:rPr>
                <w:rFonts w:ascii="Times New Roman" w:hAnsi="Times New Roman" w:cs="Times New Roman"/>
                <w:szCs w:val="24"/>
              </w:rPr>
            </w:pPr>
            <w:r>
              <w:rPr>
                <w:rFonts w:ascii="Times New Roman" w:hAnsi="Times New Roman" w:cs="Times New Roman"/>
                <w:szCs w:val="24"/>
              </w:rPr>
              <w:t xml:space="preserve">выполняемая функция</w:t>
            </w:r>
            <w:r>
              <w:rPr>
                <w:rFonts w:ascii="Times New Roman" w:hAnsi="Times New Roman" w:cs="Times New Roman"/>
                <w:szCs w:val="24"/>
              </w:rPr>
            </w:r>
          </w:p>
        </w:tc>
        <w:tc>
          <w:tcPr>
            <w:tcW w:w="992" w:type="dxa"/>
            <w:vMerge w:val="continue"/>
            <w:textDirection w:val="lrTb"/>
            <w:noWrap w:val="false"/>
          </w:tcPr>
          <w:p>
            <w:pPr>
              <w:rPr>
                <w:sz w:val="20"/>
              </w:rPr>
            </w:pPr>
            <w:r>
              <w:rPr>
                <w:sz w:val="20"/>
              </w:rPr>
            </w:r>
            <w:r>
              <w:rPr>
                <w:sz w:val="20"/>
              </w:rPr>
            </w:r>
          </w:p>
        </w:tc>
      </w:tr>
      <w:tr>
        <w:tblPrEx/>
        <w:trPr/>
        <w:tc>
          <w:tcPr>
            <w:tcW w:w="1196"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1444"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66"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1134"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709"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2"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2"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3"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2"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r>
      <w:tr>
        <w:tblPrEx/>
        <w:trPr/>
        <w:tc>
          <w:tcPr>
            <w:tcW w:w="1196"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1444"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66"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1134"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709"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2"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2"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3"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c>
          <w:tcPr>
            <w:tcW w:w="992" w:type="dxa"/>
            <w:textDirection w:val="lrTb"/>
            <w:noWrap w:val="false"/>
          </w:tcPr>
          <w:p>
            <w:pPr>
              <w:pStyle w:val="1194"/>
              <w:ind w:firstLine="0"/>
              <w:rPr>
                <w:rFonts w:ascii="Times New Roman" w:hAnsi="Times New Roman" w:cs="Times New Roman"/>
                <w:szCs w:val="24"/>
              </w:rPr>
            </w:pPr>
            <w:r>
              <w:rPr>
                <w:rFonts w:ascii="Times New Roman" w:hAnsi="Times New Roman" w:cs="Times New Roman"/>
                <w:szCs w:val="24"/>
              </w:rPr>
            </w:r>
            <w:r>
              <w:rPr>
                <w:rFonts w:ascii="Times New Roman" w:hAnsi="Times New Roman" w:cs="Times New Roman"/>
                <w:szCs w:val="24"/>
              </w:rPr>
            </w:r>
          </w:p>
        </w:tc>
      </w:tr>
    </w:tbl>
    <w:p>
      <w:pPr>
        <w:pStyle w:val="1194"/>
        <w:ind w:firstLine="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12. Работа выполнена в полном объеме, рабочие места приведены в порядок, инструмент и материалы убраны, люди выведены, наряд-допуск закрыт</w:t>
      </w:r>
      <w:r>
        <w:rPr>
          <w:rFonts w:ascii="Times New Roman" w:hAnsi="Times New Roman" w:cs="Times New Roman"/>
          <w:sz w:val="24"/>
          <w:szCs w:val="24"/>
        </w:rPr>
      </w:r>
    </w:p>
    <w:p>
      <w:pPr>
        <w:pStyle w:val="1195"/>
        <w:jc w:val="both"/>
        <w:rPr>
          <w:rFonts w:ascii="Times New Roman" w:hAnsi="Times New Roman" w:cs="Times New Roman"/>
          <w:sz w:val="24"/>
          <w:szCs w:val="24"/>
          <w:u w:val="single"/>
        </w:rPr>
      </w:pPr>
      <w:r>
        <w:rPr>
          <w:rFonts w:ascii="Times New Roman" w:hAnsi="Times New Roman" w:cs="Times New Roman"/>
          <w:sz w:val="24"/>
          <w:szCs w:val="24"/>
          <w:u w:val="single"/>
        </w:rPr>
        <w:t xml:space="preserve">___________________________________________________________________________</w:t>
      </w:r>
      <w:r>
        <w:rPr>
          <w:rFonts w:ascii="Times New Roman" w:hAnsi="Times New Roman" w:cs="Times New Roman"/>
          <w:sz w:val="24"/>
          <w:szCs w:val="24"/>
          <w:u w:val="single"/>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(руководитель работ, подпись, дата, время)</w:t>
      </w:r>
      <w:r>
        <w:rPr>
          <w:rFonts w:ascii="Times New Roman" w:hAnsi="Times New Roman" w:cs="Times New Roman"/>
          <w:sz w:val="18"/>
          <w:szCs w:val="24"/>
        </w:rPr>
      </w:r>
    </w:p>
    <w:p>
      <w:pPr>
        <w:pStyle w:val="1195"/>
        <w:jc w:val="both"/>
        <w:rPr>
          <w:rFonts w:ascii="Times New Roman" w:hAnsi="Times New Roman" w:cs="Times New Roman"/>
          <w:sz w:val="24"/>
          <w:szCs w:val="24"/>
          <w:u w:val="single"/>
        </w:rPr>
      </w:pPr>
      <w:r>
        <w:rPr>
          <w:rFonts w:ascii="Times New Roman" w:hAnsi="Times New Roman" w:cs="Times New Roman"/>
          <w:sz w:val="24"/>
          <w:szCs w:val="24"/>
          <w:u w:val="single"/>
        </w:rPr>
        <w:t xml:space="preserve">___________________________________________________________________________</w:t>
      </w:r>
      <w:r>
        <w:rPr>
          <w:rFonts w:ascii="Times New Roman" w:hAnsi="Times New Roman" w:cs="Times New Roman"/>
          <w:sz w:val="24"/>
          <w:szCs w:val="24"/>
          <w:u w:val="single"/>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(начальник смены (старший по смене) по месту проведения работ,</w:t>
      </w:r>
      <w:r>
        <w:rPr>
          <w:rFonts w:ascii="Times New Roman" w:hAnsi="Times New Roman" w:cs="Times New Roman"/>
          <w:sz w:val="18"/>
          <w:szCs w:val="24"/>
        </w:rPr>
      </w:r>
    </w:p>
    <w:p>
      <w:pPr>
        <w:pStyle w:val="1195"/>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w:t>
      </w:r>
      <w:r>
        <w:rPr>
          <w:rFonts w:ascii="Times New Roman" w:hAnsi="Times New Roman" w:cs="Times New Roman"/>
          <w:sz w:val="24"/>
          <w:szCs w:val="24"/>
        </w:rPr>
      </w:r>
    </w:p>
    <w:p>
      <w:pPr>
        <w:pStyle w:val="1195"/>
        <w:jc w:val="center"/>
        <w:rPr>
          <w:rFonts w:ascii="Times New Roman" w:hAnsi="Times New Roman" w:cs="Times New Roman"/>
          <w:sz w:val="18"/>
          <w:szCs w:val="24"/>
        </w:rPr>
      </w:pPr>
      <w:r>
        <w:rPr>
          <w:rFonts w:ascii="Times New Roman" w:hAnsi="Times New Roman" w:cs="Times New Roman"/>
          <w:sz w:val="18"/>
          <w:szCs w:val="24"/>
        </w:rPr>
        <w:t xml:space="preserve">Фамилия, Иимя, Отчество, подпись, дата, время)</w:t>
      </w:r>
      <w:r>
        <w:rPr>
          <w:rFonts w:ascii="Times New Roman" w:hAnsi="Times New Roman" w:cs="Times New Roman"/>
          <w:sz w:val="18"/>
          <w:szCs w:val="24"/>
        </w:rPr>
      </w:r>
    </w:p>
    <w:p>
      <w:pPr>
        <w:pStyle w:val="1194"/>
        <w:ind w:firstLine="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194"/>
        <w:ind w:firstLine="0"/>
        <w:jc w:val="both"/>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p>
    <w:p>
      <w:pPr>
        <w:pStyle w:val="1194"/>
        <w:ind w:firstLine="0"/>
        <w:jc w:val="both"/>
        <w:rPr>
          <w:rFonts w:ascii="Times New Roman" w:hAnsi="Times New Roman" w:cs="Times New Roman"/>
          <w:sz w:val="24"/>
          <w:szCs w:val="24"/>
        </w:rPr>
      </w:pPr>
      <w:r>
        <w:rPr>
          <w:rFonts w:ascii="Times New Roman" w:hAnsi="Times New Roman" w:cs="Times New Roman"/>
          <w:sz w:val="24"/>
          <w:szCs w:val="24"/>
        </w:rPr>
        <w:t xml:space="preserve">&lt;*&gt; Если этого требует нормативный документ, регламентирующий безопасное проведение работ.</w:t>
      </w:r>
      <w:r>
        <w:rPr>
          <w:rFonts w:ascii="Times New Roman" w:hAnsi="Times New Roman" w:cs="Times New Roman"/>
          <w:sz w:val="24"/>
          <w:szCs w:val="24"/>
        </w:rPr>
      </w:r>
    </w:p>
    <w:p>
      <w:pPr>
        <w:pStyle w:val="1194"/>
        <w:ind w:firstLine="0"/>
        <w:jc w:val="both"/>
        <w:rPr>
          <w:rFonts w:ascii="Times New Roman" w:hAnsi="Times New Roman" w:cs="Times New Roman"/>
          <w:sz w:val="24"/>
          <w:szCs w:val="24"/>
        </w:rPr>
        <w:sectPr>
          <w:footnotePr/>
          <w:endnotePr/>
          <w:type w:val="nextPage"/>
          <w:pgSz w:w="11905" w:h="16838" w:orient="portrait"/>
          <w:pgMar w:top="1134" w:right="850" w:bottom="1134" w:left="1701" w:header="0" w:footer="0" w:gutter="0"/>
          <w:cols w:num="1" w:sep="0" w:space="720" w:equalWidth="1"/>
          <w:docGrid w:linePitch="360"/>
        </w:sectPr>
      </w:pPr>
      <w:r>
        <w:rPr>
          <w:rFonts w:ascii="Times New Roman" w:hAnsi="Times New Roman" w:cs="Times New Roman"/>
          <w:sz w:val="24"/>
          <w:szCs w:val="24"/>
        </w:rPr>
      </w:r>
      <w:r>
        <w:rPr>
          <w:rFonts w:ascii="Times New Roman" w:hAnsi="Times New Roman" w:cs="Times New Roman"/>
          <w:sz w:val="24"/>
          <w:szCs w:val="24"/>
        </w:rPr>
      </w:r>
    </w:p>
    <w:p>
      <w:pPr>
        <w:pStyle w:val="950"/>
        <w:ind w:left="7655"/>
        <w:spacing w:before="0" w:after="0"/>
        <w:rPr>
          <w:rFonts w:ascii="Times New Roman" w:hAnsi="Times New Roman"/>
          <w:sz w:val="24"/>
          <w:szCs w:val="24"/>
        </w:rPr>
      </w:pPr>
      <w:r>
        <w:rPr>
          <w:rFonts w:ascii="Times New Roman" w:hAnsi="Times New Roman"/>
          <w:sz w:val="24"/>
          <w:szCs w:val="24"/>
        </w:rPr>
        <w:t xml:space="preserve">Приложение В</w:t>
      </w:r>
      <w:r>
        <w:rPr>
          <w:rFonts w:ascii="Times New Roman" w:hAnsi="Times New Roman"/>
          <w:sz w:val="24"/>
          <w:szCs w:val="24"/>
        </w:rPr>
      </w:r>
    </w:p>
    <w:p>
      <w:pPr>
        <w:ind w:left="7655"/>
      </w:pPr>
      <w:r>
        <w:br w:type="textWrapping" w:clear="all"/>
        <w:t xml:space="preserve">(обязательное)</w:t>
      </w:r>
      <w:r/>
    </w:p>
    <w:p>
      <w:pPr>
        <w:jc w:val="center"/>
        <w:rPr>
          <w:b/>
        </w:rPr>
      </w:pPr>
      <w:r>
        <w:rPr>
          <w:b/>
        </w:rPr>
      </w:r>
      <w:r>
        <w:rPr>
          <w:b/>
        </w:rPr>
      </w:r>
    </w:p>
    <w:p>
      <w:pPr>
        <w:jc w:val="center"/>
        <w:rPr>
          <w:b/>
        </w:rPr>
      </w:pPr>
      <w:r>
        <w:rPr>
          <w:b/>
        </w:rPr>
      </w:r>
      <w:r>
        <w:rPr>
          <w:b/>
        </w:rPr>
      </w:r>
    </w:p>
    <w:p>
      <w:pPr>
        <w:jc w:val="center"/>
        <w:rPr>
          <w:b/>
        </w:rPr>
      </w:pPr>
      <w:r>
        <w:rPr>
          <w:b/>
        </w:rPr>
        <w:t xml:space="preserve">Форма</w:t>
      </w:r>
      <w:r>
        <w:rPr>
          <w:b/>
        </w:rPr>
        <w:br w:type="textWrapping" w:clear="all"/>
        <w:t xml:space="preserve">допуска на тушение пожара на отключенном энергетическом оборудовании</w:t>
      </w:r>
      <w:r>
        <w:rPr>
          <w:b/>
        </w:rPr>
      </w:r>
    </w:p>
    <w:p>
      <w:r/>
      <w:r/>
    </w:p>
    <w:p>
      <w:pPr>
        <w:jc w:val="both"/>
      </w:pPr>
      <w:r>
        <w:t xml:space="preserve">_______________________________________________________________________________</w:t>
      </w:r>
      <w:r/>
    </w:p>
    <w:p>
      <w:pPr>
        <w:jc w:val="center"/>
        <w:rPr>
          <w:sz w:val="20"/>
        </w:rPr>
      </w:pPr>
      <w:r>
        <w:rPr>
          <w:sz w:val="20"/>
        </w:rPr>
        <w:t xml:space="preserve">(наименование предприятия)</w:t>
      </w:r>
      <w:r>
        <w:rPr>
          <w:sz w:val="20"/>
        </w:rPr>
      </w:r>
    </w:p>
    <w:p>
      <w:pPr>
        <w:jc w:val="both"/>
      </w:pPr>
      <w:r/>
      <w:r/>
    </w:p>
    <w:p>
      <w:pPr>
        <w:jc w:val="both"/>
      </w:pPr>
      <w:r>
        <w:t xml:space="preserve">1. Дата и время выдачи допуска ___________________________________________________</w:t>
      </w:r>
      <w:r/>
    </w:p>
    <w:p>
      <w:pPr>
        <w:jc w:val="both"/>
      </w:pPr>
      <w:r/>
      <w:r/>
    </w:p>
    <w:p>
      <w:pPr>
        <w:jc w:val="both"/>
      </w:pPr>
      <w:r>
        <w:t xml:space="preserve">2. Электроустановки, кабели в зоне пожара и на подступах к ним обесточены.</w:t>
      </w:r>
      <w:r/>
    </w:p>
    <w:p>
      <w:pPr>
        <w:jc w:val="both"/>
      </w:pPr>
      <w:r/>
      <w:r/>
    </w:p>
    <w:p>
      <w:pPr>
        <w:jc w:val="both"/>
      </w:pPr>
      <w:r>
        <w:t xml:space="preserve">3. Место проведения тушения пожара и что разрешается тушить (наименование помещений, открытой установки и т п.)</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r/>
    </w:p>
    <w:p>
      <w:pPr>
        <w:jc w:val="both"/>
      </w:pPr>
      <w:r>
        <w:t xml:space="preserve">Инструктаж о мерах безопасности проведен_________________________________________</w:t>
      </w:r>
      <w:r/>
    </w:p>
    <w:p>
      <w:pPr>
        <w:jc w:val="both"/>
      </w:pPr>
      <w:r/>
      <w:r/>
    </w:p>
    <w:p>
      <w:pPr>
        <w:jc w:val="both"/>
      </w:pPr>
      <w:r>
        <w:t xml:space="preserve">Безопасные условия проведения работ по тушению пожара выполнены</w:t>
      </w:r>
      <w:r/>
    </w:p>
    <w:p>
      <w:pPr>
        <w:jc w:val="both"/>
      </w:pPr>
      <w:r>
        <w:t xml:space="preserve">_______________________________________________________________________________</w:t>
      </w:r>
      <w:r/>
    </w:p>
    <w:p>
      <w:pPr>
        <w:jc w:val="both"/>
      </w:pPr>
      <w:r/>
      <w:r/>
    </w:p>
    <w:p>
      <w:pPr>
        <w:jc w:val="both"/>
      </w:pPr>
      <w:r>
        <w:t xml:space="preserve">4. Допуск выдал_________________________________________________________________</w:t>
      </w:r>
      <w:r/>
    </w:p>
    <w:p>
      <w:pPr>
        <w:jc w:val="both"/>
        <w:tabs>
          <w:tab w:val="left" w:pos="3402" w:leader="none"/>
        </w:tabs>
        <w:rPr>
          <w:sz w:val="20"/>
        </w:rPr>
      </w:pPr>
      <w:r>
        <w:rPr>
          <w:sz w:val="20"/>
        </w:rPr>
        <w:tab/>
        <w:t xml:space="preserve">(должность, Ф.И.О. представителя энергопредприятия, подпись)</w:t>
      </w:r>
      <w:r>
        <w:rPr>
          <w:sz w:val="20"/>
        </w:rPr>
      </w:r>
    </w:p>
    <w:p>
      <w:pPr>
        <w:jc w:val="both"/>
      </w:pPr>
      <w:r/>
      <w:r/>
    </w:p>
    <w:p>
      <w:pPr>
        <w:jc w:val="both"/>
      </w:pPr>
      <w:r>
        <w:t xml:space="preserve">5. Допуск получил_______________________________________________________________</w:t>
      </w:r>
      <w:r/>
    </w:p>
    <w:p>
      <w:pPr>
        <w:ind w:firstLine="709"/>
        <w:jc w:val="both"/>
        <w:tabs>
          <w:tab w:val="left" w:pos="3402" w:leader="none"/>
        </w:tabs>
        <w:rPr>
          <w:sz w:val="20"/>
        </w:rPr>
      </w:pPr>
      <w:r>
        <w:rPr>
          <w:sz w:val="20"/>
        </w:rPr>
        <w:tab/>
        <w:t xml:space="preserve">(должность, Ф.И.О. представителя пожарной охраны, подпись)</w:t>
      </w:r>
      <w:r>
        <w:rPr>
          <w:sz w:val="20"/>
        </w:rPr>
      </w:r>
    </w:p>
    <w:p>
      <w:pPr>
        <w:jc w:val="both"/>
      </w:pPr>
      <w:r/>
      <w:r/>
    </w:p>
    <w:p>
      <w:pPr>
        <w:jc w:val="both"/>
        <w:rPr>
          <w:b/>
          <w:bCs/>
          <w:iCs/>
        </w:rPr>
      </w:pPr>
      <w:r>
        <w:rPr>
          <w:b/>
          <w:bCs/>
          <w:iCs/>
        </w:rPr>
      </w:r>
      <w:r>
        <w:rPr>
          <w:b/>
          <w:bCs/>
          <w:iCs/>
        </w:rPr>
      </w:r>
    </w:p>
    <w:p>
      <w:pPr>
        <w:jc w:val="both"/>
      </w:pPr>
      <w:r>
        <w:rPr>
          <w:b/>
          <w:bCs/>
          <w:iCs/>
        </w:rPr>
        <w:t xml:space="preserve">Примечание:</w:t>
      </w:r>
      <w:r>
        <w:t xml:space="preserve"> Допуск оформляется в 2-х экземплярах:</w:t>
      </w:r>
      <w:r/>
    </w:p>
    <w:p>
      <w:pPr>
        <w:ind w:firstLine="1560"/>
        <w:jc w:val="both"/>
      </w:pPr>
      <w:r>
        <w:t xml:space="preserve">- 1-й экз. – вручается руководителю тушения пожара;</w:t>
      </w:r>
      <w:r/>
    </w:p>
    <w:p>
      <w:pPr>
        <w:ind w:firstLine="1560"/>
        <w:jc w:val="both"/>
      </w:pPr>
      <w:r>
        <w:t xml:space="preserve">- 2-й экз. – остается на энергетическом предприятии.</w:t>
      </w:r>
      <w:r/>
    </w:p>
    <w:p>
      <w:pPr>
        <w:rPr>
          <w:b/>
        </w:rPr>
      </w:pPr>
      <w:r>
        <w:rPr>
          <w:b/>
        </w:rPr>
        <w:br w:type="page" w:clear="all"/>
      </w:r>
      <w:r>
        <w:rPr>
          <w:b/>
        </w:rPr>
      </w:r>
    </w:p>
    <w:p>
      <w:pPr>
        <w:pStyle w:val="950"/>
        <w:ind w:left="7797"/>
        <w:spacing w:before="0" w:after="0"/>
        <w:rPr>
          <w:rFonts w:ascii="Times New Roman" w:hAnsi="Times New Roman"/>
          <w:sz w:val="24"/>
          <w:szCs w:val="24"/>
        </w:rPr>
      </w:pPr>
      <w:r>
        <w:rPr>
          <w:rFonts w:ascii="Times New Roman" w:hAnsi="Times New Roman"/>
          <w:sz w:val="24"/>
          <w:szCs w:val="24"/>
        </w:rPr>
        <w:t xml:space="preserve">Приложение Г</w:t>
      </w:r>
      <w:r>
        <w:rPr>
          <w:rFonts w:ascii="Times New Roman" w:hAnsi="Times New Roman"/>
          <w:sz w:val="24"/>
          <w:szCs w:val="24"/>
        </w:rPr>
      </w:r>
    </w:p>
    <w:p>
      <w:pPr>
        <w:ind w:left="7797"/>
      </w:pPr>
      <w:r>
        <w:t xml:space="preserve"> </w:t>
      </w:r>
      <w:r>
        <w:br w:type="textWrapping" w:clear="all"/>
        <w:t xml:space="preserve">(обязательное)</w:t>
      </w:r>
      <w:r/>
    </w:p>
    <w:p>
      <w:pPr>
        <w:jc w:val="center"/>
        <w:rPr>
          <w:b/>
        </w:rPr>
      </w:pPr>
      <w:r>
        <w:rPr>
          <w:b/>
        </w:rPr>
      </w:r>
      <w:r>
        <w:rPr>
          <w:b/>
        </w:rPr>
      </w:r>
    </w:p>
    <w:p>
      <w:pPr>
        <w:jc w:val="center"/>
        <w:rPr>
          <w:b/>
        </w:rPr>
      </w:pPr>
      <w:r>
        <w:rPr>
          <w:b/>
        </w:rPr>
        <w:t xml:space="preserve">Форма</w:t>
      </w:r>
      <w:r>
        <w:rPr>
          <w:b/>
        </w:rPr>
      </w:r>
    </w:p>
    <w:p>
      <w:pPr>
        <w:jc w:val="center"/>
        <w:rPr>
          <w:b/>
        </w:rPr>
      </w:pPr>
      <w:r>
        <w:rPr>
          <w:b/>
        </w:rPr>
        <w:t xml:space="preserve"> допуска на тушение пожара на энергетическом оборудовании,</w:t>
      </w:r>
      <w:r>
        <w:rPr>
          <w:b/>
        </w:rPr>
        <w:br w:type="textWrapping" w:clear="all"/>
        <w:t xml:space="preserve">находящемся под напряжением до 0,4 кВ</w:t>
      </w:r>
      <w:r>
        <w:rPr>
          <w:b/>
        </w:rPr>
      </w:r>
    </w:p>
    <w:p>
      <w:r>
        <w:t xml:space="preserve">_______________________________________________________________________________</w:t>
      </w:r>
      <w:r/>
    </w:p>
    <w:p>
      <w:pPr>
        <w:jc w:val="center"/>
        <w:rPr>
          <w:sz w:val="20"/>
        </w:rPr>
      </w:pPr>
      <w:r>
        <w:rPr>
          <w:sz w:val="20"/>
        </w:rPr>
        <w:t xml:space="preserve">(наименование энергетического предприятия)</w:t>
      </w:r>
      <w:r>
        <w:rPr>
          <w:sz w:val="20"/>
        </w:rPr>
      </w:r>
    </w:p>
    <w:p>
      <w:pPr>
        <w:jc w:val="both"/>
      </w:pPr>
      <w:r/>
      <w:r/>
    </w:p>
    <w:p>
      <w:pPr>
        <w:jc w:val="both"/>
      </w:pPr>
      <w:r>
        <w:t xml:space="preserve">Место проведения работ по тушению пожара________________________________________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center"/>
        <w:rPr>
          <w:sz w:val="20"/>
        </w:rPr>
      </w:pPr>
      <w:r>
        <w:rPr>
          <w:sz w:val="20"/>
        </w:rPr>
        <w:t xml:space="preserve">(перечисляется энергетическое оборудование)</w:t>
      </w:r>
      <w:r>
        <w:rPr>
          <w:sz w:val="20"/>
        </w:rPr>
      </w:r>
    </w:p>
    <w:p>
      <w:pPr>
        <w:jc w:val="both"/>
        <w:rPr>
          <w:sz w:val="16"/>
        </w:rPr>
      </w:pPr>
      <w:r>
        <w:rPr>
          <w:sz w:val="16"/>
        </w:rPr>
      </w:r>
      <w:r>
        <w:rPr>
          <w:sz w:val="16"/>
        </w:rPr>
      </w:r>
    </w:p>
    <w:p>
      <w:pPr>
        <w:jc w:val="both"/>
      </w:pPr>
      <w:r>
        <w:t xml:space="preserve">Выполнены необходимые действия по оперативной карточке 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rPr>
          <w:sz w:val="16"/>
        </w:rPr>
      </w:pPr>
      <w:r>
        <w:rPr>
          <w:sz w:val="16"/>
        </w:rPr>
      </w:r>
      <w:r>
        <w:rPr>
          <w:sz w:val="16"/>
        </w:rPr>
      </w:r>
    </w:p>
    <w:p>
      <w:pPr>
        <w:jc w:val="both"/>
      </w:pPr>
      <w:r>
        <w:t xml:space="preserve">Маршрут следования к месту пожара_______________________________________________</w:t>
      </w:r>
      <w:r/>
    </w:p>
    <w:p>
      <w:pPr>
        <w:jc w:val="both"/>
      </w:pPr>
      <w:r>
        <w:t xml:space="preserve">_______________________________________________________________________________</w:t>
      </w:r>
      <w:r/>
    </w:p>
    <w:p>
      <w:pPr>
        <w:jc w:val="both"/>
      </w:pPr>
      <w:r>
        <w:t xml:space="preserve">_______________________________________________________________________________</w:t>
      </w:r>
      <w:r/>
    </w:p>
    <w:p>
      <w:pPr>
        <w:jc w:val="both"/>
      </w:pPr>
      <w:r>
        <w:t xml:space="preserve">Инструктаж о мерах безопасности проведен_________________________________________</w:t>
      </w:r>
      <w:r/>
    </w:p>
    <w:p>
      <w:pPr>
        <w:jc w:val="both"/>
        <w:rPr>
          <w:sz w:val="16"/>
        </w:rPr>
      </w:pPr>
      <w:r>
        <w:rPr>
          <w:sz w:val="16"/>
        </w:rPr>
      </w:r>
      <w:r>
        <w:rPr>
          <w:sz w:val="16"/>
        </w:rPr>
      </w:r>
    </w:p>
    <w:p>
      <w:pPr>
        <w:jc w:val="both"/>
      </w:pPr>
      <w:r>
        <w:t xml:space="preserve">Безопасные условия проведения работ по тушению пожара выполнены _________________</w:t>
      </w:r>
      <w:r/>
    </w:p>
    <w:p>
      <w:pPr>
        <w:jc w:val="both"/>
      </w:pPr>
      <w:r>
        <w:t xml:space="preserve">_______________________________________________________________________________</w:t>
      </w:r>
      <w:r/>
    </w:p>
    <w:p>
      <w:pPr>
        <w:jc w:val="both"/>
        <w:rPr>
          <w:sz w:val="10"/>
        </w:rPr>
      </w:pPr>
      <w:r>
        <w:rPr>
          <w:sz w:val="10"/>
        </w:rPr>
      </w:r>
      <w:r>
        <w:rPr>
          <w:sz w:val="10"/>
        </w:rPr>
      </w:r>
    </w:p>
    <w:p>
      <w:pPr>
        <w:jc w:val="both"/>
      </w:pPr>
      <w:r>
        <w:t xml:space="preserve">Допуск на тушение пожара выдал__________________________________________________</w:t>
      </w:r>
      <w:r/>
    </w:p>
    <w:p>
      <w:pPr>
        <w:jc w:val="both"/>
        <w:tabs>
          <w:tab w:val="left" w:pos="5529" w:leader="none"/>
        </w:tabs>
        <w:rPr>
          <w:sz w:val="20"/>
        </w:rPr>
      </w:pPr>
      <w:r>
        <w:rPr>
          <w:sz w:val="20"/>
        </w:rPr>
        <w:tab/>
        <w:t xml:space="preserve">(Ф.И.О. должность, подпись)</w:t>
      </w:r>
      <w:r>
        <w:rPr>
          <w:sz w:val="20"/>
        </w:rPr>
      </w:r>
    </w:p>
    <w:p>
      <w:pPr>
        <w:jc w:val="both"/>
      </w:pPr>
      <w:r>
        <w:t xml:space="preserve">_______________________________________________________________________________</w:t>
      </w:r>
      <w:r/>
    </w:p>
    <w:p>
      <w:pPr>
        <w:jc w:val="center"/>
        <w:rPr>
          <w:sz w:val="20"/>
        </w:rPr>
      </w:pPr>
      <w:r>
        <w:rPr>
          <w:sz w:val="20"/>
        </w:rPr>
        <w:t xml:space="preserve">(дата и время выдачи допуска)</w:t>
      </w:r>
      <w:r>
        <w:rPr>
          <w:sz w:val="20"/>
        </w:rPr>
      </w:r>
    </w:p>
    <w:p>
      <w:pPr>
        <w:jc w:val="both"/>
        <w:rPr>
          <w:sz w:val="8"/>
        </w:rPr>
      </w:pPr>
      <w:r>
        <w:rPr>
          <w:sz w:val="8"/>
        </w:rPr>
      </w:r>
      <w:r>
        <w:rPr>
          <w:sz w:val="8"/>
        </w:rPr>
      </w:r>
    </w:p>
    <w:p>
      <w:pPr>
        <w:jc w:val="both"/>
      </w:pPr>
      <w:r>
        <w:t xml:space="preserve">Допуск на тушение пожара получил________________________________________________</w:t>
      </w:r>
      <w:r/>
    </w:p>
    <w:p>
      <w:pPr>
        <w:jc w:val="center"/>
        <w:rPr>
          <w:sz w:val="20"/>
        </w:rPr>
      </w:pPr>
      <w:r>
        <w:t xml:space="preserve"> </w:t>
      </w:r>
      <w:r>
        <w:tab/>
      </w:r>
      <w:r>
        <w:tab/>
      </w:r>
      <w:r>
        <w:tab/>
      </w:r>
      <w:r>
        <w:tab/>
      </w:r>
      <w:r>
        <w:tab/>
      </w:r>
      <w:r>
        <w:tab/>
      </w:r>
      <w:r>
        <w:rPr>
          <w:color w:val="000000"/>
          <w:sz w:val="20"/>
        </w:rPr>
        <w:t xml:space="preserve">(Ф.И.О. должность, дата и время получения допуска)</w:t>
      </w:r>
      <w:r>
        <w:rPr>
          <w:sz w:val="20"/>
        </w:rPr>
      </w:r>
    </w:p>
    <w:p>
      <w:pPr>
        <w:jc w:val="both"/>
      </w:pPr>
      <w:r/>
      <w:r/>
    </w:p>
    <w:p>
      <w:pPr>
        <w:jc w:val="both"/>
      </w:pPr>
      <w:r/>
      <w:r/>
    </w:p>
    <w:p>
      <w:pPr>
        <w:jc w:val="both"/>
      </w:pPr>
      <w:r>
        <w:rPr>
          <w:b/>
          <w:bCs/>
          <w:iCs/>
        </w:rPr>
        <w:t xml:space="preserve">Примечание:</w:t>
      </w:r>
      <w:r>
        <w:t xml:space="preserve"> Допуск оформляется в 2-х экземплярах:</w:t>
      </w:r>
      <w:r/>
    </w:p>
    <w:p>
      <w:pPr>
        <w:ind w:firstLine="1560"/>
        <w:jc w:val="both"/>
      </w:pPr>
      <w:r>
        <w:t xml:space="preserve">- 1-й экз. – вручается руководителю тушения пожара;</w:t>
      </w:r>
      <w:r/>
    </w:p>
    <w:p>
      <w:pPr>
        <w:ind w:firstLine="1560"/>
        <w:jc w:val="both"/>
      </w:pPr>
      <w:r>
        <w:t xml:space="preserve">- 2-й экз. – остается на энергетическом предприятии.</w:t>
      </w:r>
      <w:r/>
    </w:p>
    <w:p>
      <w:r/>
      <w:r/>
    </w:p>
    <w:p>
      <w:r/>
      <w:r/>
    </w:p>
    <w:p>
      <w:r/>
      <w:r/>
    </w:p>
    <w:p>
      <w:r/>
      <w:r/>
    </w:p>
    <w:p>
      <w:r/>
      <w:r/>
    </w:p>
    <w:p>
      <w:r/>
      <w:r/>
    </w:p>
    <w:p>
      <w:r/>
      <w:r/>
    </w:p>
    <w:p>
      <w:r/>
      <w:r/>
    </w:p>
    <w:p>
      <w:r/>
      <w:r/>
    </w:p>
    <w:p>
      <w:pPr>
        <w:ind w:left="7797"/>
        <w:keepNext/>
        <w:rPr>
          <w:b/>
          <w:bCs/>
        </w:rPr>
        <w:outlineLvl w:val="2"/>
      </w:pPr>
      <w:r>
        <w:rPr>
          <w:b/>
          <w:bCs/>
        </w:rPr>
        <w:t xml:space="preserve">Приложение Д</w:t>
      </w:r>
      <w:r>
        <w:rPr>
          <w:b/>
          <w:bCs/>
        </w:rPr>
      </w:r>
    </w:p>
    <w:p>
      <w:pPr>
        <w:ind w:left="7797"/>
      </w:pPr>
      <w:r>
        <w:t xml:space="preserve"> </w:t>
      </w:r>
      <w:r>
        <w:br w:type="textWrapping" w:clear="all"/>
        <w:t xml:space="preserve">(обязательное)</w:t>
      </w:r>
      <w:r/>
    </w:p>
    <w:p>
      <w:r/>
      <w:r/>
    </w:p>
    <w:p>
      <w:pPr>
        <w:jc w:val="both"/>
        <w:rPr>
          <w:sz w:val="28"/>
          <w:szCs w:val="28"/>
        </w:rPr>
      </w:pPr>
      <w:r>
        <w:rPr>
          <w:sz w:val="28"/>
          <w:szCs w:val="28"/>
        </w:rPr>
      </w:r>
      <w:r>
        <w:rPr>
          <w:sz w:val="28"/>
          <w:szCs w:val="28"/>
        </w:rPr>
      </w:r>
    </w:p>
    <w:p>
      <w:pPr>
        <w:jc w:val="center"/>
        <w:rPr>
          <w:b/>
          <w:sz w:val="28"/>
          <w:szCs w:val="28"/>
        </w:rPr>
      </w:pPr>
      <w:r>
        <w:rPr>
          <w:b/>
          <w:sz w:val="28"/>
          <w:szCs w:val="28"/>
        </w:rPr>
        <w:t xml:space="preserve">Порядок проведения огневых работ на постоянных местах</w:t>
      </w:r>
      <w:r>
        <w:rPr>
          <w:b/>
          <w:sz w:val="28"/>
          <w:szCs w:val="28"/>
        </w:rPr>
      </w:r>
    </w:p>
    <w:p>
      <w:pPr>
        <w:jc w:val="both"/>
        <w:rPr>
          <w:sz w:val="28"/>
          <w:szCs w:val="28"/>
        </w:rPr>
      </w:pPr>
      <w:r>
        <w:rPr>
          <w:sz w:val="28"/>
          <w:szCs w:val="28"/>
        </w:rPr>
      </w:r>
      <w:r>
        <w:rPr>
          <w:sz w:val="28"/>
          <w:szCs w:val="28"/>
        </w:rPr>
      </w:r>
    </w:p>
    <w:p>
      <w:pPr>
        <w:ind w:left="567" w:firstLine="709"/>
        <w:jc w:val="both"/>
        <w:rPr>
          <w:sz w:val="28"/>
          <w:szCs w:val="28"/>
        </w:rPr>
      </w:pPr>
      <w:r>
        <w:rPr>
          <w:b/>
          <w:sz w:val="28"/>
          <w:szCs w:val="28"/>
        </w:rPr>
        <w:t xml:space="preserve">Д1</w:t>
      </w:r>
      <w:r>
        <w:rPr>
          <w:sz w:val="28"/>
          <w:szCs w:val="28"/>
        </w:rPr>
        <w:t xml:space="preserve">. Постоянные места проведения огневых работ на действующих объектах определяются распорядительным документом по Филиалу.</w:t>
      </w:r>
      <w:r>
        <w:rPr>
          <w:sz w:val="28"/>
          <w:szCs w:val="28"/>
        </w:rPr>
      </w:r>
    </w:p>
    <w:p>
      <w:pPr>
        <w:ind w:left="567" w:firstLine="709"/>
        <w:jc w:val="both"/>
        <w:rPr>
          <w:sz w:val="28"/>
          <w:szCs w:val="28"/>
        </w:rPr>
      </w:pPr>
      <w:r>
        <w:rPr>
          <w:sz w:val="28"/>
          <w:szCs w:val="28"/>
        </w:rPr>
        <w:t xml:space="preserve">Постоянные места проведения огневых работ, после их подготовки, принимаются комиссией, назначенной приказом по Филиалу с обязательным участием специалиста п</w:t>
      </w:r>
      <w:r>
        <w:rPr>
          <w:sz w:val="28"/>
          <w:szCs w:val="28"/>
        </w:rPr>
        <w:t xml:space="preserve">о пожарной безопасности Филиала и оформлением соответствующего акта приемки. Акт приемки составляется в произвольной форме и может быть составлен один как на все постоянные места проведения огневых работ на объектах, так и по каждому объекту в отдельности.</w:t>
      </w:r>
      <w:r>
        <w:rPr>
          <w:sz w:val="28"/>
          <w:szCs w:val="28"/>
        </w:rPr>
      </w:r>
    </w:p>
    <w:p>
      <w:pPr>
        <w:ind w:left="567" w:firstLine="709"/>
        <w:jc w:val="both"/>
        <w:rPr>
          <w:sz w:val="28"/>
          <w:szCs w:val="28"/>
        </w:rPr>
      </w:pPr>
      <w:r>
        <w:rPr>
          <w:sz w:val="28"/>
          <w:szCs w:val="28"/>
        </w:rPr>
        <w:t xml:space="preserve">Состав комиссии по приемке постоянных мест проведения огневых работ возглавляет главный технический руководитель Филиала.</w:t>
      </w:r>
      <w:r>
        <w:rPr>
          <w:sz w:val="28"/>
          <w:szCs w:val="28"/>
        </w:rPr>
      </w:r>
    </w:p>
    <w:p>
      <w:pPr>
        <w:ind w:left="567" w:firstLine="709"/>
        <w:jc w:val="both"/>
        <w:rPr>
          <w:sz w:val="28"/>
          <w:szCs w:val="28"/>
        </w:rPr>
      </w:pPr>
      <w:r>
        <w:rPr>
          <w:sz w:val="28"/>
          <w:szCs w:val="28"/>
        </w:rPr>
        <w:t xml:space="preserve">Акт приемки постоянных мест проведения огневых работ утверждается руководителем Филиала.</w:t>
      </w:r>
      <w:r>
        <w:rPr>
          <w:sz w:val="28"/>
          <w:szCs w:val="28"/>
        </w:rPr>
      </w:r>
    </w:p>
    <w:p>
      <w:pPr>
        <w:ind w:left="567" w:firstLine="709"/>
        <w:jc w:val="both"/>
        <w:rPr>
          <w:sz w:val="28"/>
          <w:szCs w:val="28"/>
        </w:rPr>
      </w:pPr>
      <w:r>
        <w:rPr>
          <w:b/>
          <w:sz w:val="28"/>
          <w:szCs w:val="28"/>
        </w:rPr>
        <w:t xml:space="preserve">Д2</w:t>
      </w:r>
      <w:r>
        <w:rPr>
          <w:sz w:val="28"/>
          <w:szCs w:val="28"/>
        </w:rPr>
        <w:t xml:space="preserve">. Не допускается размещать постоянные места для проведения огневых работ в пожароопасных и взрывопожароопасных помещениях.</w:t>
      </w:r>
      <w:r>
        <w:rPr>
          <w:sz w:val="28"/>
          <w:szCs w:val="28"/>
        </w:rPr>
      </w:r>
    </w:p>
    <w:p>
      <w:pPr>
        <w:ind w:left="567" w:firstLine="709"/>
        <w:jc w:val="both"/>
        <w:rPr>
          <w:sz w:val="28"/>
          <w:szCs w:val="28"/>
        </w:rPr>
      </w:pPr>
      <w:r>
        <w:rPr>
          <w:sz w:val="28"/>
          <w:szCs w:val="28"/>
        </w:rPr>
        <w:t xml:space="preserve">Оборудование постоянных мест для проведения огневых работ предусматривает:</w:t>
      </w:r>
      <w:r>
        <w:rPr>
          <w:sz w:val="28"/>
          <w:szCs w:val="28"/>
        </w:rPr>
      </w:r>
    </w:p>
    <w:p>
      <w:pPr>
        <w:ind w:left="567" w:firstLine="709"/>
        <w:jc w:val="both"/>
        <w:rPr>
          <w:sz w:val="28"/>
          <w:szCs w:val="28"/>
        </w:rPr>
      </w:pPr>
      <w:r>
        <w:rPr>
          <w:sz w:val="28"/>
          <w:szCs w:val="28"/>
        </w:rPr>
        <w:t xml:space="preserve">­ размещение сварочных постов в помещениях со стенами из несгораемых материалов. Ширина проходов в этих помещениях должна быть не менее 0,8 м. Площадь отдельного помещения для сварочного оборудования дол</w:t>
      </w:r>
      <w:r>
        <w:rPr>
          <w:sz w:val="28"/>
          <w:szCs w:val="28"/>
        </w:rPr>
        <w:t xml:space="preserve">жна быть не менее 10 м2, причем площадь, свободная от оборудования, должна составлять из расчета не менее 3 м2 на каждый сварочный пост. Высота стенок кабины должна быть не менее 2 м. Зазор между стенками и полом при сварке в среде защитных газов – 300 мм.</w:t>
      </w:r>
      <w:r>
        <w:rPr>
          <w:sz w:val="28"/>
          <w:szCs w:val="28"/>
        </w:rPr>
      </w:r>
    </w:p>
    <w:p>
      <w:pPr>
        <w:ind w:left="567" w:firstLine="709"/>
        <w:jc w:val="both"/>
        <w:rPr>
          <w:sz w:val="28"/>
          <w:szCs w:val="28"/>
        </w:rPr>
      </w:pPr>
      <w:r>
        <w:rPr>
          <w:sz w:val="28"/>
          <w:szCs w:val="28"/>
        </w:rPr>
        <w:t xml:space="preserve">­ отведение отдельного помещения или выгораживание несгораемыми и непрозрачными перегородками высотой не ниже 1,8 м производственной площадки;</w:t>
      </w:r>
      <w:r>
        <w:rPr>
          <w:sz w:val="28"/>
          <w:szCs w:val="28"/>
        </w:rPr>
      </w:r>
    </w:p>
    <w:p>
      <w:pPr>
        <w:ind w:left="567" w:firstLine="709"/>
        <w:jc w:val="both"/>
        <w:rPr>
          <w:sz w:val="28"/>
          <w:szCs w:val="28"/>
        </w:rPr>
      </w:pPr>
      <w:r>
        <w:rPr>
          <w:sz w:val="28"/>
          <w:szCs w:val="28"/>
        </w:rPr>
        <w:t xml:space="preserve">­ применение негорючих материал</w:t>
      </w:r>
      <w:r>
        <w:rPr>
          <w:sz w:val="28"/>
          <w:szCs w:val="28"/>
        </w:rPr>
        <w:t xml:space="preserve">ов для отделки полов и стен в помещениях, где организованы постоянные места проведения огневых работ (допускается устройство деревянных торцевых полов на негорючем основании в помещениях, в которых производится сварка без предварительного нагрева деталей);</w:t>
      </w:r>
      <w:r>
        <w:rPr>
          <w:sz w:val="28"/>
          <w:szCs w:val="28"/>
        </w:rPr>
      </w:r>
    </w:p>
    <w:p>
      <w:pPr>
        <w:ind w:left="567" w:firstLine="709"/>
        <w:jc w:val="both"/>
        <w:rPr>
          <w:sz w:val="28"/>
          <w:szCs w:val="28"/>
        </w:rPr>
      </w:pPr>
      <w:r>
        <w:rPr>
          <w:sz w:val="28"/>
          <w:szCs w:val="28"/>
        </w:rPr>
        <w:t xml:space="preserve">­ освещенность рабочих поверхностей на сварочном посту не ниже приведенных значений в </w:t>
      </w:r>
      <w:hyperlink r:id="rId44" w:tooltip="&quot;СП 52.13330.2016  Естественное и искусственное освещение ...&quot;(утв. приказом Министерства строительства и жилищно-коммунального хозяйства ...Статус: Действующий документ. Применяется для целей технического регламента (действ. c 08.05.2017)" w:history="1">
        <w:r>
          <w:rPr>
            <w:rStyle w:val="1111"/>
            <w:color w:val="0000aa"/>
            <w:sz w:val="28"/>
            <w:szCs w:val="28"/>
          </w:rPr>
          <w:t xml:space="preserve">СП 52.13330.2016</w:t>
        </w:r>
      </w:hyperlink>
      <w:r>
        <w:rPr>
          <w:sz w:val="28"/>
          <w:szCs w:val="28"/>
        </w:rPr>
        <w:t xml:space="preserve"> «Естественное и искусственное освещение. Актуализированная редакция СНиП 23-05-95*»;</w:t>
      </w:r>
      <w:r>
        <w:rPr>
          <w:sz w:val="28"/>
          <w:szCs w:val="28"/>
        </w:rPr>
      </w:r>
    </w:p>
    <w:p>
      <w:pPr>
        <w:ind w:left="567" w:firstLine="709"/>
        <w:jc w:val="both"/>
        <w:rPr>
          <w:sz w:val="28"/>
          <w:szCs w:val="28"/>
        </w:rPr>
      </w:pPr>
      <w:r>
        <w:rPr>
          <w:sz w:val="28"/>
          <w:szCs w:val="28"/>
        </w:rPr>
        <w:t xml:space="preserve">­ установку сварочной аппаратур</w:t>
      </w:r>
      <w:r>
        <w:rPr>
          <w:sz w:val="28"/>
          <w:szCs w:val="28"/>
        </w:rPr>
        <w:t xml:space="preserve">ы; электросварочного трансформатора; вводного щита электропитания; рампы или другого устройства для установки газовых баллонов суточного расхода; металлического шкафа или стеллажа для инструмента; пожарного щита с первичными средствами пожаротушения и др.;</w:t>
      </w:r>
      <w:r>
        <w:rPr>
          <w:sz w:val="28"/>
          <w:szCs w:val="28"/>
        </w:rPr>
      </w:r>
    </w:p>
    <w:p>
      <w:pPr>
        <w:ind w:left="567" w:firstLine="709"/>
        <w:jc w:val="both"/>
        <w:rPr>
          <w:sz w:val="28"/>
          <w:szCs w:val="28"/>
        </w:rPr>
      </w:pPr>
      <w:r>
        <w:rPr>
          <w:sz w:val="28"/>
          <w:szCs w:val="28"/>
        </w:rPr>
        <w:t xml:space="preserve">­ наличие стойки с крючком или вилкой для подвески потушенных горелок или резаков во время перерывов в работе (в случае, если данный вид огневых работ будет проводиться на сварочном посту);</w:t>
      </w:r>
      <w:r>
        <w:rPr>
          <w:sz w:val="28"/>
          <w:szCs w:val="28"/>
        </w:rPr>
      </w:r>
    </w:p>
    <w:p>
      <w:pPr>
        <w:ind w:left="567" w:firstLine="709"/>
        <w:jc w:val="both"/>
        <w:rPr>
          <w:sz w:val="28"/>
          <w:szCs w:val="28"/>
        </w:rPr>
      </w:pPr>
      <w:r>
        <w:rPr>
          <w:sz w:val="28"/>
          <w:szCs w:val="28"/>
        </w:rPr>
        <w:t xml:space="preserve">­ установку обменной вентиляции отдельного помещения (при необходимости выгороженного участка), в том числе местной отсасывающей;</w:t>
      </w:r>
      <w:r>
        <w:rPr>
          <w:sz w:val="28"/>
          <w:szCs w:val="28"/>
        </w:rPr>
      </w:r>
    </w:p>
    <w:p>
      <w:pPr>
        <w:ind w:left="567" w:firstLine="709"/>
        <w:jc w:val="both"/>
        <w:rPr>
          <w:sz w:val="28"/>
          <w:szCs w:val="28"/>
        </w:rPr>
      </w:pPr>
      <w:r>
        <w:rPr>
          <w:sz w:val="28"/>
          <w:szCs w:val="28"/>
        </w:rPr>
        <w:t xml:space="preserve">­ устройство специального контура заземления, который до приемки в эксплуатацию должен быть проверен в соответствии с требованиями действующих  нормативных документов.</w:t>
      </w:r>
      <w:r>
        <w:rPr>
          <w:sz w:val="28"/>
          <w:szCs w:val="28"/>
        </w:rPr>
      </w:r>
    </w:p>
    <w:p>
      <w:pPr>
        <w:ind w:left="567" w:firstLine="709"/>
        <w:jc w:val="both"/>
        <w:rPr>
          <w:sz w:val="28"/>
          <w:szCs w:val="28"/>
        </w:rPr>
      </w:pPr>
      <w:r>
        <w:rPr>
          <w:b/>
          <w:sz w:val="28"/>
          <w:szCs w:val="28"/>
        </w:rPr>
        <w:t xml:space="preserve">Д3</w:t>
      </w:r>
      <w:r>
        <w:rPr>
          <w:sz w:val="28"/>
          <w:szCs w:val="28"/>
        </w:rPr>
        <w:t xml:space="preserve">. Помещение (участок), отведенное для постоянного проведения огневых работ обеспечивается:</w:t>
      </w:r>
      <w:r>
        <w:rPr>
          <w:sz w:val="28"/>
          <w:szCs w:val="28"/>
        </w:rPr>
      </w:r>
    </w:p>
    <w:p>
      <w:pPr>
        <w:ind w:left="567" w:firstLine="709"/>
        <w:jc w:val="both"/>
        <w:rPr>
          <w:sz w:val="28"/>
          <w:szCs w:val="28"/>
        </w:rPr>
      </w:pPr>
      <w:r>
        <w:rPr>
          <w:sz w:val="28"/>
          <w:szCs w:val="28"/>
        </w:rPr>
        <w:t xml:space="preserve">­ перечнем видов разрешенных огневых работ, утвержденным главным инженером объекта (подразделения);</w:t>
      </w:r>
      <w:r>
        <w:rPr>
          <w:sz w:val="28"/>
          <w:szCs w:val="28"/>
        </w:rPr>
      </w:r>
    </w:p>
    <w:p>
      <w:pPr>
        <w:ind w:left="567" w:firstLine="709"/>
        <w:jc w:val="both"/>
        <w:rPr>
          <w:sz w:val="28"/>
          <w:szCs w:val="28"/>
        </w:rPr>
      </w:pPr>
      <w:r>
        <w:rPr>
          <w:sz w:val="28"/>
          <w:szCs w:val="28"/>
        </w:rPr>
        <w:t xml:space="preserve">­ местной инструкцией о мерах пожарной безопасности при проведении огневых работ;</w:t>
      </w:r>
      <w:r>
        <w:rPr>
          <w:sz w:val="28"/>
          <w:szCs w:val="28"/>
        </w:rPr>
      </w:r>
    </w:p>
    <w:p>
      <w:pPr>
        <w:ind w:left="567" w:firstLine="709"/>
        <w:jc w:val="both"/>
        <w:rPr>
          <w:sz w:val="28"/>
          <w:szCs w:val="28"/>
        </w:rPr>
      </w:pPr>
      <w:r>
        <w:rPr>
          <w:sz w:val="28"/>
          <w:szCs w:val="28"/>
        </w:rPr>
        <w:t xml:space="preserve">­ необходимыми схемами и плакатами по технологии проведения огневых работ;</w:t>
      </w:r>
      <w:r>
        <w:rPr>
          <w:sz w:val="28"/>
          <w:szCs w:val="28"/>
        </w:rPr>
      </w:r>
    </w:p>
    <w:p>
      <w:pPr>
        <w:ind w:left="567" w:firstLine="709"/>
        <w:jc w:val="both"/>
        <w:rPr>
          <w:sz w:val="28"/>
          <w:szCs w:val="28"/>
        </w:rPr>
      </w:pPr>
      <w:r>
        <w:rPr>
          <w:sz w:val="28"/>
          <w:szCs w:val="28"/>
        </w:rPr>
        <w:t xml:space="preserve">­ первичные средства пожаротушения: пожарным щитом, ук</w:t>
      </w:r>
      <w:r>
        <w:rPr>
          <w:sz w:val="28"/>
          <w:szCs w:val="28"/>
        </w:rPr>
        <w:t xml:space="preserve">омплектованным в соответствии с действующими нормами комплектации пожарных щитов немеханизированным инструментом и инвентарем, но не менее чем 2 огнетушителями с минимальным рангом модельного очага пожара 2A, 55B и покрывалом для изоляции очага возгорания;</w:t>
      </w:r>
      <w:r>
        <w:rPr>
          <w:sz w:val="28"/>
          <w:szCs w:val="28"/>
        </w:rPr>
      </w:r>
    </w:p>
    <w:p>
      <w:pPr>
        <w:ind w:left="567" w:firstLine="709"/>
        <w:jc w:val="both"/>
        <w:rPr>
          <w:sz w:val="28"/>
          <w:szCs w:val="28"/>
        </w:rPr>
      </w:pPr>
      <w:r>
        <w:rPr>
          <w:sz w:val="28"/>
          <w:szCs w:val="28"/>
        </w:rPr>
        <w:t xml:space="preserve">­ аптечкой, укомплектованной препаратами для оказания первой помощи.</w:t>
      </w:r>
      <w:r>
        <w:rPr>
          <w:sz w:val="28"/>
          <w:szCs w:val="28"/>
        </w:rPr>
      </w:r>
    </w:p>
    <w:p>
      <w:pPr>
        <w:ind w:left="567" w:firstLine="709"/>
        <w:jc w:val="both"/>
        <w:rPr>
          <w:sz w:val="28"/>
          <w:szCs w:val="28"/>
        </w:rPr>
      </w:pPr>
      <w:r>
        <w:rPr>
          <w:sz w:val="28"/>
          <w:szCs w:val="28"/>
        </w:rPr>
        <w:t xml:space="preserve">Постоянные места рекомендуется оборудовать вблизи источников противопожарного водоснабжения объекта.</w:t>
      </w:r>
      <w:r>
        <w:rPr>
          <w:sz w:val="28"/>
          <w:szCs w:val="28"/>
        </w:rPr>
      </w:r>
    </w:p>
    <w:p>
      <w:pPr>
        <w:ind w:left="567" w:firstLine="709"/>
        <w:jc w:val="both"/>
        <w:rPr>
          <w:sz w:val="28"/>
          <w:szCs w:val="28"/>
        </w:rPr>
      </w:pPr>
      <w:r>
        <w:rPr>
          <w:sz w:val="28"/>
          <w:szCs w:val="28"/>
        </w:rPr>
        <w:t xml:space="preserve">В местах проведения постоянных огневых работ разрешается иметь в небьющейся емкости суточный запас горючих жидкостей, необходимых для производства паяльных работ, в том случае, если они включены в перечень видов разрешенных работ.</w:t>
      </w:r>
      <w:r>
        <w:rPr>
          <w:sz w:val="28"/>
          <w:szCs w:val="28"/>
        </w:rPr>
      </w:r>
    </w:p>
    <w:p>
      <w:pPr>
        <w:ind w:left="567" w:firstLine="709"/>
        <w:jc w:val="both"/>
        <w:rPr>
          <w:sz w:val="28"/>
          <w:szCs w:val="28"/>
        </w:rPr>
      </w:pPr>
      <w:r>
        <w:rPr>
          <w:b/>
          <w:sz w:val="28"/>
          <w:szCs w:val="28"/>
        </w:rPr>
        <w:t xml:space="preserve">Д4</w:t>
      </w:r>
      <w:r>
        <w:rPr>
          <w:sz w:val="28"/>
          <w:szCs w:val="28"/>
        </w:rPr>
        <w:t xml:space="preserve">. На постоянных местах проведения огневых работ запрещается:</w:t>
      </w:r>
      <w:r>
        <w:rPr>
          <w:sz w:val="28"/>
          <w:szCs w:val="28"/>
        </w:rPr>
      </w:r>
    </w:p>
    <w:p>
      <w:pPr>
        <w:ind w:left="567" w:firstLine="709"/>
        <w:jc w:val="both"/>
        <w:rPr>
          <w:sz w:val="28"/>
          <w:szCs w:val="28"/>
        </w:rPr>
      </w:pPr>
      <w:r>
        <w:rPr>
          <w:sz w:val="28"/>
          <w:szCs w:val="28"/>
        </w:rPr>
        <w:t xml:space="preserve">­ выполнение огневых работ, не включенных в перечень видов разрешенных огневых работ;</w:t>
      </w:r>
      <w:r>
        <w:rPr>
          <w:sz w:val="28"/>
          <w:szCs w:val="28"/>
        </w:rPr>
      </w:r>
    </w:p>
    <w:p>
      <w:pPr>
        <w:ind w:left="567" w:firstLine="709"/>
        <w:jc w:val="both"/>
        <w:rPr>
          <w:sz w:val="28"/>
          <w:szCs w:val="28"/>
        </w:rPr>
      </w:pPr>
      <w:r>
        <w:rPr>
          <w:sz w:val="28"/>
          <w:szCs w:val="28"/>
        </w:rPr>
        <w:t xml:space="preserve">­ выполнение огневых работ на сварочном оборудовании, которое не прошло своевременно испытания, техническое освидетельствование и т.д.;</w:t>
      </w:r>
      <w:r>
        <w:rPr>
          <w:sz w:val="28"/>
          <w:szCs w:val="28"/>
        </w:rPr>
      </w:r>
    </w:p>
    <w:p>
      <w:pPr>
        <w:ind w:left="567" w:firstLine="709"/>
        <w:jc w:val="both"/>
        <w:rPr>
          <w:sz w:val="28"/>
          <w:szCs w:val="28"/>
        </w:rPr>
      </w:pPr>
      <w:r>
        <w:rPr>
          <w:sz w:val="28"/>
          <w:szCs w:val="28"/>
        </w:rPr>
        <w:t xml:space="preserve">­ выполнение огневых работ с неисправной сварочной аппаратурой, обменной вентиляцией и т.д.;</w:t>
      </w:r>
      <w:r>
        <w:rPr>
          <w:sz w:val="28"/>
          <w:szCs w:val="28"/>
        </w:rPr>
      </w:r>
    </w:p>
    <w:p>
      <w:pPr>
        <w:ind w:left="567" w:firstLine="709"/>
        <w:jc w:val="both"/>
        <w:rPr>
          <w:sz w:val="28"/>
          <w:szCs w:val="28"/>
        </w:rPr>
      </w:pPr>
      <w:r>
        <w:rPr>
          <w:sz w:val="28"/>
          <w:szCs w:val="28"/>
        </w:rPr>
        <w:t xml:space="preserve">­ постоянное хранение газовых баллонов в местах проведения огневых работ;</w:t>
      </w:r>
      <w:r>
        <w:rPr>
          <w:sz w:val="28"/>
          <w:szCs w:val="28"/>
        </w:rPr>
      </w:r>
    </w:p>
    <w:p>
      <w:pPr>
        <w:ind w:left="567" w:firstLine="709"/>
        <w:jc w:val="both"/>
        <w:rPr>
          <w:sz w:val="28"/>
          <w:szCs w:val="28"/>
        </w:rPr>
      </w:pPr>
      <w:r>
        <w:rPr>
          <w:sz w:val="28"/>
          <w:szCs w:val="28"/>
        </w:rPr>
        <w:t xml:space="preserve">­ хранение бензина, керосина, ацетона и других легковоспламеняющихся и горючих жидкостей и материалов;</w:t>
      </w:r>
      <w:r>
        <w:rPr>
          <w:sz w:val="28"/>
          <w:szCs w:val="28"/>
        </w:rPr>
      </w:r>
    </w:p>
    <w:p>
      <w:pPr>
        <w:ind w:left="567" w:firstLine="709"/>
        <w:jc w:val="both"/>
        <w:rPr>
          <w:sz w:val="28"/>
          <w:szCs w:val="28"/>
        </w:rPr>
      </w:pPr>
      <w:r>
        <w:rPr>
          <w:sz w:val="28"/>
          <w:szCs w:val="28"/>
        </w:rPr>
        <w:t xml:space="preserve">­ курение и использование открытого огня;</w:t>
      </w:r>
      <w:r>
        <w:rPr>
          <w:sz w:val="28"/>
          <w:szCs w:val="28"/>
        </w:rPr>
      </w:r>
    </w:p>
    <w:p>
      <w:pPr>
        <w:ind w:left="567" w:firstLine="709"/>
        <w:jc w:val="both"/>
        <w:rPr>
          <w:sz w:val="28"/>
          <w:szCs w:val="28"/>
        </w:rPr>
      </w:pPr>
      <w:r>
        <w:rPr>
          <w:sz w:val="28"/>
          <w:szCs w:val="28"/>
        </w:rPr>
        <w:t xml:space="preserve">­ выполнение огневых работ в одежде и рукавицах со следами масел и жиров, бензина, керосина и других горючих жидкостей;</w:t>
      </w:r>
      <w:r>
        <w:rPr>
          <w:sz w:val="28"/>
          <w:szCs w:val="28"/>
        </w:rPr>
      </w:r>
    </w:p>
    <w:p>
      <w:pPr>
        <w:ind w:left="567" w:firstLine="709"/>
        <w:jc w:val="both"/>
        <w:rPr>
          <w:sz w:val="28"/>
          <w:szCs w:val="28"/>
        </w:rPr>
      </w:pPr>
      <w:r>
        <w:rPr>
          <w:sz w:val="28"/>
          <w:szCs w:val="28"/>
        </w:rPr>
        <w:t xml:space="preserve">­ применение для предварительного обезжиривания поверхностей под сварку и наплавку керосин, бензин, ацетон и другие горючие и легковоспламеняющиеся вещества и хлорпроизводные углеводороды.</w:t>
      </w:r>
      <w:r>
        <w:rPr>
          <w:sz w:val="28"/>
          <w:szCs w:val="28"/>
        </w:rPr>
      </w:r>
    </w:p>
    <w:p>
      <w:pPr>
        <w:ind w:left="567" w:firstLine="709"/>
        <w:jc w:val="both"/>
        <w:rPr>
          <w:sz w:val="28"/>
          <w:szCs w:val="28"/>
        </w:rPr>
      </w:pPr>
      <w:r>
        <w:rPr>
          <w:b/>
          <w:sz w:val="28"/>
          <w:szCs w:val="28"/>
        </w:rPr>
        <w:t xml:space="preserve">Д5</w:t>
      </w:r>
      <w:r>
        <w:rPr>
          <w:sz w:val="28"/>
          <w:szCs w:val="28"/>
        </w:rPr>
        <w:t xml:space="preserve">. Устанавливаемые в помещении баллоны с газом должны быть защищены от действия солнечных лучей и других источников тепла.</w:t>
      </w:r>
      <w:r>
        <w:rPr>
          <w:sz w:val="28"/>
          <w:szCs w:val="28"/>
        </w:rPr>
      </w:r>
    </w:p>
    <w:p>
      <w:pPr>
        <w:ind w:left="567" w:firstLine="709"/>
        <w:jc w:val="both"/>
        <w:rPr>
          <w:sz w:val="28"/>
          <w:szCs w:val="28"/>
        </w:rPr>
      </w:pPr>
      <w:r>
        <w:rPr>
          <w:sz w:val="28"/>
          <w:szCs w:val="28"/>
        </w:rPr>
        <w:t xml:space="preserve">Во время работы на постоянных местах проведения огневых работ должно быть одновременно не более дву</w:t>
      </w:r>
      <w:r>
        <w:rPr>
          <w:sz w:val="28"/>
          <w:szCs w:val="28"/>
        </w:rPr>
        <w:t xml:space="preserve">х баллонов (с кислородом и с горючим газом), при этом допускается на сварочном посту иметь по 1 запасному баллону с кислородом и горючим газом. Запасные баллоны ограждаются щитами из негорючих материалов или хранятся в специальных пристройках к мастерской.</w:t>
      </w:r>
      <w:r>
        <w:rPr>
          <w:sz w:val="28"/>
          <w:szCs w:val="28"/>
        </w:rPr>
      </w:r>
    </w:p>
    <w:p>
      <w:pPr>
        <w:ind w:left="567" w:firstLine="709"/>
        <w:jc w:val="both"/>
        <w:rPr>
          <w:sz w:val="28"/>
          <w:szCs w:val="28"/>
        </w:rPr>
      </w:pPr>
      <w:r>
        <w:rPr>
          <w:sz w:val="28"/>
          <w:szCs w:val="28"/>
        </w:rPr>
        <w:t xml:space="preserve">После окончания или при перерыве в работе более 10 минут аппаратура должна быть отключена, а шланги отсоединены и освобождены от горючих жидкостей и газов.</w:t>
      </w:r>
      <w:r>
        <w:rPr>
          <w:sz w:val="28"/>
          <w:szCs w:val="28"/>
        </w:rPr>
      </w:r>
    </w:p>
    <w:p>
      <w:pPr>
        <w:ind w:left="567" w:firstLine="709"/>
        <w:jc w:val="both"/>
        <w:rPr>
          <w:sz w:val="28"/>
          <w:szCs w:val="28"/>
        </w:rPr>
      </w:pPr>
      <w:r>
        <w:rPr>
          <w:b/>
          <w:sz w:val="28"/>
          <w:szCs w:val="28"/>
        </w:rPr>
        <w:t xml:space="preserve">Д6</w:t>
      </w:r>
      <w:r>
        <w:rPr>
          <w:sz w:val="28"/>
          <w:szCs w:val="28"/>
        </w:rPr>
        <w:t xml:space="preserve">. При производстве огневых работ на постоянных местах наряд-допуск на эти работы не оформляется.</w:t>
      </w:r>
      <w:r>
        <w:rPr>
          <w:sz w:val="28"/>
          <w:szCs w:val="28"/>
        </w:rPr>
      </w:r>
    </w:p>
    <w:p>
      <w:pPr>
        <w:ind w:left="567" w:firstLine="709"/>
        <w:jc w:val="both"/>
        <w:rPr>
          <w:sz w:val="28"/>
          <w:szCs w:val="28"/>
        </w:rPr>
      </w:pPr>
      <w:r>
        <w:rPr>
          <w:sz w:val="28"/>
          <w:szCs w:val="28"/>
        </w:rPr>
      </w:r>
      <w:r>
        <w:rPr>
          <w:sz w:val="28"/>
          <w:szCs w:val="28"/>
        </w:rPr>
      </w:r>
    </w:p>
    <w:sectPr>
      <w:headerReference w:type="default" r:id="rId11"/>
      <w:footerReference w:type="default" r:id="rId12"/>
      <w:footnotePr/>
      <w:endnotePr/>
      <w:type w:val="nextPage"/>
      <w:pgSz w:w="11907" w:h="16840" w:orient="portrait"/>
      <w:pgMar w:top="1105" w:right="851" w:bottom="851" w:left="851" w:header="720" w:footer="720" w:gutter="0"/>
      <w:cols w:num="1" w:sep="0" w:space="6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PSMT-Identity-H">
    <w:panose1 w:val="02020603050405020304"/>
  </w:font>
  <w:font w:name="Symbol">
    <w:panose1 w:val="05010000000000000000"/>
  </w:font>
  <w:font w:name="Wingdings">
    <w:panose1 w:val="05010000000000000000"/>
  </w:font>
  <w:font w:name="Candara">
    <w:panose1 w:val="020F0502020204030204"/>
  </w:font>
  <w:font w:name="Times New Roman CYR">
    <w:panose1 w:val="02020603050405020304"/>
  </w:font>
  <w:font w:name="Courier New">
    <w:panose1 w:val="02070309020205020404"/>
  </w:font>
  <w:font w:name="Constantia">
    <w:panose1 w:val="02040503050406030204"/>
  </w:font>
  <w:font w:name="Tahoma">
    <w:panose1 w:val="020B0604030504040204"/>
  </w:font>
  <w:font w:name="Impact">
    <w:panose1 w:val="020B0806030902050204"/>
  </w:font>
  <w:font w:name="Verdana">
    <w:panose1 w:val="020B0604030504040204"/>
  </w:font>
  <w:font w:name="Cambria">
    <w:panose1 w:val="02040503050406030204"/>
  </w:font>
  <w:font w:name="Arial Unicode MS">
    <w:panose1 w:val="020B0604020202020204"/>
  </w:font>
  <w:font w:name="Arial">
    <w:panose1 w:val="020B0604020202020204"/>
  </w:font>
  <w:font w:name="Times New Roman">
    <w:panose1 w:val="02020603050405020304"/>
  </w:font>
  <w:font w:name="DejaVu Sans Condensed">
    <w:panose1 w:val="020B0606030804020204"/>
  </w:font>
  <w:font w:name="Arial Narrow">
    <w:panose1 w:val="020B06040202020202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1"/>
      <w:jc w:val="right"/>
    </w:pPr>
    <w:r>
      <w:fldChar w:fldCharType="begin"/>
    </w:r>
    <w:r>
      <w:instrText xml:space="preserve">PAGE   \* MERGEFORMAT</w:instrText>
    </w:r>
    <w:r>
      <w:fldChar w:fldCharType="separate"/>
    </w:r>
    <w:r>
      <w:t xml:space="preserve">97</w:t>
    </w:r>
    <w:r>
      <w:fldChar w:fldCharType="end"/>
    </w:r>
    <w:r/>
  </w:p>
  <w:p>
    <w:pPr>
      <w:pStyle w:val="981"/>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jc w:val="right"/>
      <w:rPr>
        <w:sz w:val="24"/>
        <w:szCs w:val="24"/>
      </w:rPr>
    </w:pPr>
    <w:r>
      <w:rPr>
        <w:sz w:val="24"/>
        <w:szCs w:val="24"/>
      </w:rPr>
    </w:r>
    <w:r>
      <w:rPr>
        <w:sz w:val="24"/>
        <w:szCs w:val="24"/>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rPr>
      <w:t xml:space="preserve">2</w:t>
    </w:r>
    <w:r>
      <w:rPr>
        <w:sz w:val="24"/>
        <w:szCs w:val="24"/>
      </w:rPr>
      <w:fldChar w:fldCharType="end"/>
    </w:r>
    <w:r>
      <w:rPr>
        <w:sz w:val="24"/>
        <w:szCs w:val="24"/>
      </w:rPr>
    </w:r>
  </w:p>
  <w:p>
    <w:pPr>
      <w:pStyle w:val="1162"/>
      <w:ind w:left="-426" w:right="360"/>
      <w:rPr>
        <w:sz w:val="24"/>
        <w:szCs w:val="24"/>
      </w:rPr>
    </w:pPr>
    <w:r>
      <w:rPr>
        <w:sz w:val="24"/>
        <w:szCs w:val="24"/>
      </w:rPr>
    </w:r>
    <w:r>
      <w:rPr>
        <w:sz w:val="24"/>
        <w:szCs w:val="24"/>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1">
    <w:multiLevelType w:val="hybridMultilevel"/>
    <w:lvl w:ilvl="0">
      <w:start w:val="5"/>
      <w:numFmt w:val="decimal"/>
      <w:isLgl w:val="false"/>
      <w:suff w:val="tab"/>
      <w:lvlText w:val="%1."/>
      <w:lvlJc w:val="left"/>
      <w:pPr>
        <w:ind w:left="675" w:hanging="675"/>
      </w:pPr>
    </w:lvl>
    <w:lvl w:ilvl="1">
      <w:start w:val="3"/>
      <w:numFmt w:val="decimal"/>
      <w:isLgl w:val="false"/>
      <w:suff w:val="tab"/>
      <w:lvlText w:val="6.%2."/>
      <w:lvlJc w:val="left"/>
      <w:pPr>
        <w:ind w:left="1074" w:hanging="720"/>
      </w:pPr>
      <w:rPr>
        <w:b/>
      </w:rPr>
    </w:lvl>
    <w:lvl w:ilvl="2">
      <w:start w:val="1"/>
      <w:numFmt w:val="decimal"/>
      <w:isLgl w:val="false"/>
      <w:suff w:val="tab"/>
      <w:lvlText w:val="6.4.%3."/>
      <w:lvlJc w:val="left"/>
      <w:pPr>
        <w:ind w:left="1428" w:hanging="720"/>
      </w:pPr>
      <w:rPr>
        <w:b w:val="0"/>
        <w:color w:val="000000"/>
        <w:sz w:val="28"/>
        <w:szCs w:val="28"/>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2">
    <w:multiLevelType w:val="hybridMultilevel"/>
    <w:lvl w:ilvl="0">
      <w:start w:val="1"/>
      <w:numFmt w:val="decimal"/>
      <w:isLgl w:val="false"/>
      <w:suff w:val="tab"/>
      <w:lvlText w:val="11.18.%1."/>
      <w:lvlJc w:val="left"/>
      <w:pPr>
        <w:ind w:left="1571"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6"/>
      <w:numFmt w:val="decimal"/>
      <w:isLgl w:val="false"/>
      <w:suff w:val="tab"/>
      <w:lvlText w:val="%1."/>
      <w:lvlJc w:val="left"/>
      <w:pPr>
        <w:ind w:left="675" w:hanging="675"/>
      </w:pPr>
      <w:rPr>
        <w:rFonts w:cs="Times New Roman"/>
      </w:rPr>
    </w:lvl>
    <w:lvl w:ilvl="1">
      <w:start w:val="7"/>
      <w:numFmt w:val="decimal"/>
      <w:isLgl w:val="false"/>
      <w:suff w:val="tab"/>
      <w:lvlText w:val="6.%2."/>
      <w:lvlJc w:val="left"/>
      <w:pPr>
        <w:ind w:left="720" w:hanging="720"/>
      </w:pPr>
      <w:rPr>
        <w:b/>
        <w:sz w:val="28"/>
        <w:szCs w:val="28"/>
      </w:rPr>
    </w:lvl>
    <w:lvl w:ilvl="2">
      <w:start w:val="5"/>
      <w:numFmt w:val="decimal"/>
      <w:isLgl w:val="false"/>
      <w:suff w:val="tab"/>
      <w:lvlText w:val="%1.%2.%3."/>
      <w:lvlJc w:val="left"/>
      <w:pPr>
        <w:ind w:left="720" w:hanging="720"/>
      </w:pPr>
      <w:rPr>
        <w:rFonts w:cs="Times New Roman"/>
      </w:rPr>
    </w:lvl>
    <w:lvl w:ilvl="3">
      <w:start w:val="1"/>
      <w:numFmt w:val="decimal"/>
      <w:isLgl w:val="false"/>
      <w:suff w:val="tab"/>
      <w:lvlText w:val="%1.%2.%3.%4."/>
      <w:lvlJc w:val="left"/>
      <w:pPr>
        <w:ind w:left="1080" w:hanging="1080"/>
      </w:pPr>
      <w:rPr>
        <w:rFonts w:cs="Times New Roman"/>
      </w:rPr>
    </w:lvl>
    <w:lvl w:ilvl="4">
      <w:start w:val="1"/>
      <w:numFmt w:val="decimalZero"/>
      <w:isLgl w:val="false"/>
      <w:suff w:val="tab"/>
      <w:lvlText w:val="%1.%2.%3.%4.%5."/>
      <w:lvlJc w:val="left"/>
      <w:pPr>
        <w:ind w:left="1080" w:hanging="1080"/>
      </w:pPr>
      <w:rPr>
        <w:rFonts w:cs="Times New Roman"/>
      </w:rPr>
    </w:lvl>
    <w:lvl w:ilvl="5">
      <w:start w:val="1"/>
      <w:numFmt w:val="decimal"/>
      <w:isLgl w:val="false"/>
      <w:suff w:val="tab"/>
      <w:lvlText w:val="%1.%2.%3.%4.%5.%6."/>
      <w:lvlJc w:val="left"/>
      <w:pPr>
        <w:ind w:left="1440" w:hanging="1440"/>
      </w:pPr>
      <w:rPr>
        <w:rFonts w:cs="Times New Roman"/>
      </w:rPr>
    </w:lvl>
    <w:lvl w:ilvl="6">
      <w:start w:val="1"/>
      <w:numFmt w:val="decimal"/>
      <w:isLgl w:val="false"/>
      <w:suff w:val="tab"/>
      <w:lvlText w:val="%1.%2.%3.%4.%5.%6.%7."/>
      <w:lvlJc w:val="left"/>
      <w:pPr>
        <w:ind w:left="1800" w:hanging="1800"/>
      </w:pPr>
      <w:rPr>
        <w:rFonts w:cs="Times New Roman"/>
      </w:rPr>
    </w:lvl>
    <w:lvl w:ilvl="7">
      <w:start w:val="1"/>
      <w:numFmt w:val="decimal"/>
      <w:isLgl w:val="false"/>
      <w:suff w:val="tab"/>
      <w:lvlText w:val="%1.%2.%3.%4.%5.%6.%7.%8."/>
      <w:lvlJc w:val="left"/>
      <w:pPr>
        <w:ind w:left="1800" w:hanging="1800"/>
      </w:pPr>
      <w:rPr>
        <w:rFonts w:cs="Times New Roman"/>
      </w:rPr>
    </w:lvl>
    <w:lvl w:ilvl="8">
      <w:start w:val="1"/>
      <w:numFmt w:val="decimal"/>
      <w:isLgl w:val="false"/>
      <w:suff w:val="tab"/>
      <w:lvlText w:val="%1.%2.%3.%4.%5.%6.%7.%8.%9."/>
      <w:lvlJc w:val="left"/>
      <w:pPr>
        <w:ind w:left="2160" w:hanging="2160"/>
      </w:pPr>
      <w:rPr>
        <w:rFonts w:cs="Times New Roman"/>
      </w:rPr>
    </w:lvl>
  </w:abstractNum>
  <w:abstractNum w:abstractNumId="4">
    <w:multiLevelType w:val="hybridMultilevel"/>
    <w:lvl w:ilvl="0">
      <w:start w:val="1"/>
      <w:numFmt w:val="bullet"/>
      <w:isLgl w:val="false"/>
      <w:suff w:val="tab"/>
      <w:lvlText w:val=""/>
      <w:lvlJc w:val="left"/>
      <w:pPr>
        <w:ind w:left="1800" w:hanging="360"/>
        <w:tabs>
          <w:tab w:val="num" w:pos="1800" w:leader="none"/>
        </w:tabs>
      </w:pPr>
      <w:rPr>
        <w:rFonts w:ascii="Symbol" w:hAnsi="Symbol"/>
      </w:rPr>
    </w:lvl>
    <w:lvl w:ilvl="1">
      <w:start w:val="1"/>
      <w:numFmt w:val="bullet"/>
      <w:isLgl w:val="false"/>
      <w:suff w:val="tab"/>
      <w:lvlText w:val="o"/>
      <w:lvlJc w:val="left"/>
      <w:pPr>
        <w:ind w:left="2520" w:hanging="360"/>
        <w:tabs>
          <w:tab w:val="num" w:pos="2520" w:leader="none"/>
        </w:tabs>
      </w:pPr>
      <w:rPr>
        <w:rFonts w:ascii="Courier New" w:hAnsi="Courier New"/>
      </w:rPr>
    </w:lvl>
    <w:lvl w:ilvl="2">
      <w:start w:val="1"/>
      <w:numFmt w:val="bullet"/>
      <w:isLgl w:val="false"/>
      <w:suff w:val="tab"/>
      <w:lvlText w:val=""/>
      <w:lvlJc w:val="left"/>
      <w:pPr>
        <w:ind w:left="3240" w:hanging="360"/>
        <w:tabs>
          <w:tab w:val="num" w:pos="3240" w:leader="none"/>
        </w:tabs>
      </w:pPr>
      <w:rPr>
        <w:rFonts w:ascii="Wingdings" w:hAnsi="Wingdings"/>
      </w:rPr>
    </w:lvl>
    <w:lvl w:ilvl="3">
      <w:start w:val="1"/>
      <w:numFmt w:val="bullet"/>
      <w:isLgl w:val="false"/>
      <w:suff w:val="tab"/>
      <w:lvlText w:val=""/>
      <w:lvlJc w:val="left"/>
      <w:pPr>
        <w:ind w:left="3960" w:hanging="360"/>
        <w:tabs>
          <w:tab w:val="num" w:pos="3960" w:leader="none"/>
        </w:tabs>
      </w:pPr>
      <w:rPr>
        <w:rFonts w:ascii="Symbol" w:hAnsi="Symbol"/>
      </w:rPr>
    </w:lvl>
    <w:lvl w:ilvl="4">
      <w:start w:val="1"/>
      <w:numFmt w:val="bullet"/>
      <w:isLgl w:val="false"/>
      <w:suff w:val="tab"/>
      <w:lvlText w:val="o"/>
      <w:lvlJc w:val="left"/>
      <w:pPr>
        <w:ind w:left="4680" w:hanging="360"/>
        <w:tabs>
          <w:tab w:val="num" w:pos="4680" w:leader="none"/>
        </w:tabs>
      </w:pPr>
      <w:rPr>
        <w:rFonts w:ascii="Courier New" w:hAnsi="Courier New"/>
      </w:rPr>
    </w:lvl>
    <w:lvl w:ilvl="5">
      <w:start w:val="1"/>
      <w:numFmt w:val="bullet"/>
      <w:isLgl w:val="false"/>
      <w:suff w:val="tab"/>
      <w:lvlText w:val=""/>
      <w:lvlJc w:val="left"/>
      <w:pPr>
        <w:ind w:left="5400" w:hanging="360"/>
        <w:tabs>
          <w:tab w:val="num" w:pos="5400" w:leader="none"/>
        </w:tabs>
      </w:pPr>
      <w:rPr>
        <w:rFonts w:ascii="Wingdings" w:hAnsi="Wingdings"/>
      </w:rPr>
    </w:lvl>
    <w:lvl w:ilvl="6">
      <w:start w:val="1"/>
      <w:numFmt w:val="bullet"/>
      <w:isLgl w:val="false"/>
      <w:suff w:val="tab"/>
      <w:lvlText w:val=""/>
      <w:lvlJc w:val="left"/>
      <w:pPr>
        <w:ind w:left="6120" w:hanging="360"/>
        <w:tabs>
          <w:tab w:val="num" w:pos="6120" w:leader="none"/>
        </w:tabs>
      </w:pPr>
      <w:rPr>
        <w:rFonts w:ascii="Symbol" w:hAnsi="Symbol"/>
      </w:rPr>
    </w:lvl>
    <w:lvl w:ilvl="7">
      <w:start w:val="1"/>
      <w:numFmt w:val="bullet"/>
      <w:isLgl w:val="false"/>
      <w:suff w:val="tab"/>
      <w:lvlText w:val="o"/>
      <w:lvlJc w:val="left"/>
      <w:pPr>
        <w:ind w:left="6840" w:hanging="360"/>
        <w:tabs>
          <w:tab w:val="num" w:pos="6840" w:leader="none"/>
        </w:tabs>
      </w:pPr>
      <w:rPr>
        <w:rFonts w:ascii="Courier New" w:hAnsi="Courier New"/>
      </w:rPr>
    </w:lvl>
    <w:lvl w:ilvl="8">
      <w:start w:val="1"/>
      <w:numFmt w:val="bullet"/>
      <w:isLgl w:val="false"/>
      <w:suff w:val="tab"/>
      <w:lvlText w:val=""/>
      <w:lvlJc w:val="left"/>
      <w:pPr>
        <w:ind w:left="7560" w:hanging="360"/>
        <w:tabs>
          <w:tab w:val="num" w:pos="7560" w:leader="none"/>
        </w:tabs>
      </w:pPr>
      <w:rPr>
        <w:rFonts w:ascii="Wingdings" w:hAnsi="Wingdings"/>
      </w:rPr>
    </w:lvl>
  </w:abstractNum>
  <w:abstractNum w:abstractNumId="5">
    <w:multiLevelType w:val="hybridMultilevel"/>
    <w:lvl w:ilvl="0">
      <w:start w:val="1"/>
      <w:numFmt w:val="decimal"/>
      <w:isLgl w:val="false"/>
      <w:suff w:val="tab"/>
      <w:lvlText w:val="12.2.5.%1."/>
      <w:lvlJc w:val="left"/>
      <w:pPr>
        <w:ind w:left="142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5"/>
      <w:numFmt w:val="decimal"/>
      <w:isLgl w:val="false"/>
      <w:suff w:val="tab"/>
      <w:lvlText w:val="%1."/>
      <w:lvlJc w:val="left"/>
      <w:pPr>
        <w:ind w:left="600" w:hanging="600"/>
      </w:pPr>
      <w:rPr>
        <w:b/>
      </w:rPr>
    </w:lvl>
    <w:lvl w:ilvl="1">
      <w:start w:val="3"/>
      <w:numFmt w:val="decimal"/>
      <w:isLgl w:val="false"/>
      <w:suff w:val="tab"/>
      <w:lvlText w:val="16.%2."/>
      <w:lvlJc w:val="left"/>
      <w:pPr>
        <w:ind w:left="1429" w:hanging="720"/>
      </w:pPr>
      <w:rPr>
        <w:b/>
      </w:rPr>
    </w:lvl>
    <w:lvl w:ilvl="2">
      <w:start w:val="15"/>
      <w:numFmt w:val="decimal"/>
      <w:isLgl w:val="false"/>
      <w:suff w:val="tab"/>
      <w:lvlText w:val="16.3.%3."/>
      <w:lvlJc w:val="left"/>
      <w:pPr>
        <w:ind w:left="1713" w:hanging="720"/>
      </w:pPr>
      <w:rPr>
        <w:b w:val="0"/>
        <w:color w:val="000000"/>
        <w:sz w:val="24"/>
        <w:szCs w:val="24"/>
      </w:rPr>
    </w:lvl>
    <w:lvl w:ilvl="3">
      <w:start w:val="1"/>
      <w:numFmt w:val="thaiNumbers"/>
      <w:isLgl w:val="false"/>
      <w:suff w:val="tab"/>
      <w:lvlText w:val="%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7">
    <w:multiLevelType w:val="hybridMultilevel"/>
    <w:lvl w:ilvl="0">
      <w:start w:val="8"/>
      <w:numFmt w:val="decimal"/>
      <w:isLgl w:val="false"/>
      <w:suff w:val="tab"/>
      <w:lvlText w:val="%1."/>
      <w:lvlJc w:val="left"/>
      <w:pPr>
        <w:ind w:left="375" w:hanging="375"/>
      </w:pPr>
      <w:rPr>
        <w:sz w:val="28"/>
        <w:szCs w:val="28"/>
      </w:rPr>
    </w:lvl>
    <w:lvl w:ilvl="1">
      <w:start w:val="2"/>
      <w:numFmt w:val="decimal"/>
      <w:isLgl w:val="false"/>
      <w:suff w:val="tab"/>
      <w:lvlText w:val="7.%2."/>
      <w:lvlJc w:val="left"/>
      <w:pPr>
        <w:ind w:left="1226" w:hanging="375"/>
      </w:pPr>
      <w:rPr>
        <w:sz w:val="24"/>
        <w:szCs w:val="24"/>
      </w:rPr>
    </w:lvl>
    <w:lvl w:ilvl="2">
      <w:start w:val="1"/>
      <w:numFmt w:val="decimal"/>
      <w:isLgl w:val="false"/>
      <w:suff w:val="tab"/>
      <w:lvlText w:val="%1.%2.%3"/>
      <w:lvlJc w:val="left"/>
      <w:pPr>
        <w:ind w:left="2422" w:hanging="720"/>
      </w:pPr>
      <w:rPr>
        <w:rFonts w:cs="Times New Roman"/>
      </w:rPr>
    </w:lvl>
    <w:lvl w:ilvl="3">
      <w:start w:val="1"/>
      <w:numFmt w:val="decimal"/>
      <w:isLgl w:val="false"/>
      <w:suff w:val="tab"/>
      <w:lvlText w:val="%1.%2.%3.%4"/>
      <w:lvlJc w:val="left"/>
      <w:pPr>
        <w:ind w:left="3633" w:hanging="1080"/>
      </w:pPr>
      <w:rPr>
        <w:rFonts w:cs="Times New Roman"/>
      </w:rPr>
    </w:lvl>
    <w:lvl w:ilvl="4">
      <w:start w:val="1"/>
      <w:numFmt w:val="decimal"/>
      <w:isLgl w:val="false"/>
      <w:suff w:val="tab"/>
      <w:lvlText w:val="%1.%2.%3.%4.%5"/>
      <w:lvlJc w:val="left"/>
      <w:pPr>
        <w:ind w:left="4484" w:hanging="1080"/>
      </w:pPr>
      <w:rPr>
        <w:rFonts w:cs="Times New Roman"/>
      </w:rPr>
    </w:lvl>
    <w:lvl w:ilvl="5">
      <w:start w:val="1"/>
      <w:numFmt w:val="decimal"/>
      <w:isLgl w:val="false"/>
      <w:suff w:val="tab"/>
      <w:lvlText w:val="%1.%2.%3.%4.%5.%6"/>
      <w:lvlJc w:val="left"/>
      <w:pPr>
        <w:ind w:left="5695" w:hanging="1440"/>
      </w:pPr>
      <w:rPr>
        <w:rFonts w:cs="Times New Roman"/>
      </w:rPr>
    </w:lvl>
    <w:lvl w:ilvl="6">
      <w:start w:val="1"/>
      <w:numFmt w:val="decimal"/>
      <w:isLgl w:val="false"/>
      <w:suff w:val="tab"/>
      <w:lvlText w:val="%1.%2.%3.%4.%5.%6.%7"/>
      <w:lvlJc w:val="left"/>
      <w:pPr>
        <w:ind w:left="6546" w:hanging="1440"/>
      </w:pPr>
      <w:rPr>
        <w:rFonts w:cs="Times New Roman"/>
      </w:rPr>
    </w:lvl>
    <w:lvl w:ilvl="7">
      <w:start w:val="1"/>
      <w:numFmt w:val="decimal"/>
      <w:isLgl w:val="false"/>
      <w:suff w:val="tab"/>
      <w:lvlText w:val="%1.%2.%3.%4.%5.%6.%7.%8"/>
      <w:lvlJc w:val="left"/>
      <w:pPr>
        <w:ind w:left="7757" w:hanging="1800"/>
      </w:pPr>
      <w:rPr>
        <w:rFonts w:cs="Times New Roman"/>
      </w:rPr>
    </w:lvl>
    <w:lvl w:ilvl="8">
      <w:start w:val="1"/>
      <w:numFmt w:val="decimal"/>
      <w:isLgl w:val="false"/>
      <w:suff w:val="tab"/>
      <w:lvlText w:val="%1.%2.%3.%4.%5.%6.%7.%8.%9"/>
      <w:lvlJc w:val="left"/>
      <w:pPr>
        <w:ind w:left="8968" w:hanging="2160"/>
      </w:pPr>
      <w:rPr>
        <w:rFonts w:cs="Times New Roman"/>
      </w:rPr>
    </w:lvl>
  </w:abstractNum>
  <w:abstractNum w:abstractNumId="8">
    <w:multiLevelType w:val="hybridMultilevel"/>
    <w:lvl w:ilvl="0">
      <w:start w:val="5"/>
      <w:numFmt w:val="decimal"/>
      <w:isLgl w:val="false"/>
      <w:suff w:val="tab"/>
      <w:lvlText w:val="%1."/>
      <w:lvlJc w:val="left"/>
      <w:pPr>
        <w:ind w:left="900" w:hanging="900"/>
      </w:pPr>
    </w:lvl>
    <w:lvl w:ilvl="1">
      <w:start w:val="2"/>
      <w:numFmt w:val="decimal"/>
      <w:isLgl w:val="false"/>
      <w:suff w:val="tab"/>
      <w:lvlText w:val="%1.%2."/>
      <w:lvlJc w:val="left"/>
      <w:pPr>
        <w:ind w:left="1256" w:hanging="900"/>
      </w:pPr>
    </w:lvl>
    <w:lvl w:ilvl="2">
      <w:start w:val="1"/>
      <w:numFmt w:val="decimal"/>
      <w:isLgl w:val="false"/>
      <w:suff w:val="tab"/>
      <w:lvlText w:val="6.1.%3."/>
      <w:lvlJc w:val="left"/>
      <w:pPr>
        <w:ind w:left="1612" w:hanging="900"/>
      </w:pPr>
      <w:rPr>
        <w:rFonts w:ascii="Times New Roman" w:hAnsi="Times New Roman" w:cs="Times New Roman"/>
        <w:b w:val="0"/>
        <w:color w:val="000000"/>
        <w:sz w:val="28"/>
        <w:szCs w:val="28"/>
      </w:rPr>
    </w:lvl>
    <w:lvl w:ilvl="3">
      <w:start w:val="1"/>
      <w:numFmt w:val="decimal"/>
      <w:isLgl w:val="false"/>
      <w:suff w:val="tab"/>
      <w:lvlText w:val="%1.%2.%3.%4."/>
      <w:lvlJc w:val="left"/>
      <w:pPr>
        <w:ind w:left="8169" w:hanging="1080"/>
      </w:p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9">
    <w:multiLevelType w:val="hybridMultilevel"/>
    <w:lvl w:ilvl="0">
      <w:start w:val="13"/>
      <w:numFmt w:val="decimal"/>
      <w:isLgl w:val="false"/>
      <w:suff w:val="tab"/>
      <w:lvlText w:val="%1."/>
      <w:lvlJc w:val="left"/>
      <w:pPr>
        <w:ind w:left="825" w:hanging="825"/>
      </w:pPr>
    </w:lvl>
    <w:lvl w:ilvl="1">
      <w:start w:val="2"/>
      <w:numFmt w:val="decimal"/>
      <w:isLgl w:val="false"/>
      <w:suff w:val="tab"/>
      <w:lvlText w:val="%1.%2."/>
      <w:lvlJc w:val="left"/>
      <w:pPr>
        <w:ind w:left="1392" w:hanging="825"/>
      </w:pPr>
    </w:lvl>
    <w:lvl w:ilvl="2">
      <w:start w:val="1"/>
      <w:numFmt w:val="decimal"/>
      <w:isLgl w:val="false"/>
      <w:suff w:val="tab"/>
      <w:lvlText w:val="13.2.%3."/>
      <w:lvlJc w:val="left"/>
      <w:pPr>
        <w:ind w:left="4227" w:hanging="825"/>
      </w:pPr>
      <w:rPr>
        <w:b w:val="0"/>
        <w:color w:val="000000"/>
        <w:sz w:val="28"/>
        <w:szCs w:val="28"/>
      </w:rPr>
    </w:lvl>
    <w:lvl w:ilvl="3">
      <w:start w:val="1"/>
      <w:numFmt w:val="decimal"/>
      <w:isLgl w:val="false"/>
      <w:suff w:val="tab"/>
      <w:lvlText w:val="%1.%2.%3.%4."/>
      <w:lvlJc w:val="left"/>
      <w:pPr>
        <w:ind w:left="2781" w:hanging="1080"/>
      </w:pPr>
    </w:lvl>
    <w:lvl w:ilvl="4">
      <w:start w:val="1"/>
      <w:numFmt w:val="decimal"/>
      <w:isLgl w:val="false"/>
      <w:suff w:val="tab"/>
      <w:lvlText w:val="%1.%2.%3.%4.%5."/>
      <w:lvlJc w:val="left"/>
      <w:pPr>
        <w:ind w:left="3348" w:hanging="1080"/>
      </w:pPr>
    </w:lvl>
    <w:lvl w:ilvl="5">
      <w:start w:val="1"/>
      <w:numFmt w:val="decimal"/>
      <w:isLgl w:val="false"/>
      <w:suff w:val="tab"/>
      <w:lvlText w:val="%1.%2.%3.%4.%5.%6."/>
      <w:lvlJc w:val="left"/>
      <w:pPr>
        <w:ind w:left="4275" w:hanging="1440"/>
      </w:pPr>
    </w:lvl>
    <w:lvl w:ilvl="6">
      <w:start w:val="1"/>
      <w:numFmt w:val="decimal"/>
      <w:isLgl w:val="false"/>
      <w:suff w:val="tab"/>
      <w:lvlText w:val="%1.%2.%3.%4.%5.%6.%7."/>
      <w:lvlJc w:val="left"/>
      <w:pPr>
        <w:ind w:left="5202" w:hanging="1800"/>
      </w:pPr>
    </w:lvl>
    <w:lvl w:ilvl="7">
      <w:start w:val="1"/>
      <w:numFmt w:val="decimal"/>
      <w:isLgl w:val="false"/>
      <w:suff w:val="tab"/>
      <w:lvlText w:val="%1.%2.%3.%4.%5.%6.%7.%8."/>
      <w:lvlJc w:val="left"/>
      <w:pPr>
        <w:ind w:left="5769" w:hanging="1800"/>
      </w:pPr>
    </w:lvl>
    <w:lvl w:ilvl="8">
      <w:start w:val="1"/>
      <w:numFmt w:val="decimal"/>
      <w:isLgl w:val="false"/>
      <w:suff w:val="tab"/>
      <w:lvlText w:val="%1.%2.%3.%4.%5.%6.%7.%8.%9."/>
      <w:lvlJc w:val="left"/>
      <w:pPr>
        <w:ind w:left="6696" w:hanging="2160"/>
      </w:pPr>
    </w:lvl>
  </w:abstractNum>
  <w:abstractNum w:abstractNumId="10">
    <w:multiLevelType w:val="hybridMultilevel"/>
    <w:lvl w:ilvl="0">
      <w:start w:val="3"/>
      <w:numFmt w:val="decimal"/>
      <w:isLgl w:val="false"/>
      <w:suff w:val="tab"/>
      <w:lvlText w:val="4.4.%1."/>
      <w:lvlJc w:val="left"/>
      <w:pPr>
        <w:ind w:left="928" w:hanging="360"/>
      </w:pPr>
      <w:rPr>
        <w:b w:val="0"/>
        <w:strike w:val="0"/>
        <w:color w:val="00000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1069" w:hanging="360"/>
      </w:pPr>
      <w:rPr>
        <w:rFonts w:ascii="Times New Roman" w:hAnsi="Times New Roman" w:cs="Times New Roman"/>
        <w:sz w:val="32"/>
        <w:szCs w:val="32"/>
      </w:rPr>
    </w:lvl>
    <w:lvl w:ilvl="1">
      <w:start w:val="1"/>
      <w:numFmt w:val="decimal"/>
      <w:isLgl w:val="false"/>
      <w:suff w:val="tab"/>
      <w:lvlText w:val="%1.%2."/>
      <w:lvlJc w:val="left"/>
      <w:pPr>
        <w:ind w:left="1288" w:hanging="720"/>
      </w:pPr>
      <w:rPr>
        <w:rFonts w:cs="Times New Roman"/>
        <w:b/>
      </w:rPr>
    </w:lvl>
    <w:lvl w:ilvl="2">
      <w:start w:val="1"/>
      <w:numFmt w:val="decimal"/>
      <w:isLgl w:val="false"/>
      <w:suff w:val="space"/>
      <w:lvlText w:val="%1.%2.%3."/>
      <w:lvlJc w:val="left"/>
      <w:pPr>
        <w:ind w:left="1997" w:hanging="720"/>
      </w:pPr>
      <w:rPr>
        <w:rFonts w:cs="Times New Roman"/>
        <w:color w:val="000000"/>
        <w:sz w:val="28"/>
        <w:szCs w:val="28"/>
      </w:rPr>
    </w:lvl>
    <w:lvl w:ilvl="3">
      <w:start w:val="1"/>
      <w:numFmt w:val="decimal"/>
      <w:isLgl w:val="false"/>
      <w:suff w:val="tab"/>
      <w:lvlText w:val="%1.%2.%3.%4."/>
      <w:lvlJc w:val="left"/>
      <w:pPr>
        <w:ind w:left="3065" w:hanging="1080"/>
      </w:pPr>
      <w:rPr>
        <w:rFonts w:cs="Times New Roman"/>
        <w:b w:val="0"/>
      </w:rPr>
    </w:lvl>
    <w:lvl w:ilvl="4">
      <w:start w:val="1"/>
      <w:numFmt w:val="decimal"/>
      <w:isLgl w:val="false"/>
      <w:suff w:val="tab"/>
      <w:lvlText w:val="%1.%2.%3.%4.%5."/>
      <w:lvlJc w:val="left"/>
      <w:pPr>
        <w:ind w:left="1789" w:hanging="1080"/>
      </w:pPr>
      <w:rPr>
        <w:rFonts w:cs="Times New Roman"/>
        <w:b w:val="0"/>
      </w:rPr>
    </w:lvl>
    <w:lvl w:ilvl="5">
      <w:start w:val="1"/>
      <w:numFmt w:val="decimal"/>
      <w:isLgl w:val="false"/>
      <w:suff w:val="tab"/>
      <w:lvlText w:val="%1.%2.%3.%4.%5.%6."/>
      <w:lvlJc w:val="left"/>
      <w:pPr>
        <w:ind w:left="2149" w:hanging="1440"/>
      </w:pPr>
      <w:rPr>
        <w:rFonts w:cs="Times New Roman"/>
      </w:rPr>
    </w:lvl>
    <w:lvl w:ilvl="6">
      <w:start w:val="1"/>
      <w:numFmt w:val="decimal"/>
      <w:isLgl w:val="false"/>
      <w:suff w:val="tab"/>
      <w:lvlText w:val="%1.%2.%3.%4.%5.%6.%7."/>
      <w:lvlJc w:val="left"/>
      <w:pPr>
        <w:ind w:left="2509" w:hanging="1800"/>
      </w:pPr>
      <w:rPr>
        <w:rFonts w:cs="Times New Roman"/>
      </w:rPr>
    </w:lvl>
    <w:lvl w:ilvl="7">
      <w:start w:val="1"/>
      <w:numFmt w:val="decimal"/>
      <w:isLgl w:val="false"/>
      <w:suff w:val="tab"/>
      <w:lvlText w:val="%1.%2.%3.%4.%5.%6.%7.%8."/>
      <w:lvlJc w:val="left"/>
      <w:pPr>
        <w:ind w:left="2509" w:hanging="1800"/>
      </w:pPr>
      <w:rPr>
        <w:rFonts w:cs="Times New Roman"/>
      </w:rPr>
    </w:lvl>
    <w:lvl w:ilvl="8">
      <w:start w:val="1"/>
      <w:numFmt w:val="decimal"/>
      <w:isLgl w:val="false"/>
      <w:suff w:val="tab"/>
      <w:lvlText w:val="%1.%2.%3.%4.%5.%6.%7.%8.%9."/>
      <w:lvlJc w:val="left"/>
      <w:pPr>
        <w:ind w:left="2869" w:hanging="2160"/>
      </w:pPr>
      <w:rPr>
        <w:rFonts w:cs="Times New Roman"/>
      </w:rPr>
    </w:lvl>
  </w:abstractNum>
  <w:abstractNum w:abstractNumId="12">
    <w:multiLevelType w:val="hybridMultilevel"/>
    <w:lvl w:ilvl="0">
      <w:start w:val="5"/>
      <w:numFmt w:val="decimal"/>
      <w:isLgl w:val="false"/>
      <w:suff w:val="tab"/>
      <w:lvlText w:val="%1"/>
      <w:lvlJc w:val="left"/>
      <w:pPr>
        <w:ind w:left="375" w:hanging="375"/>
      </w:pPr>
    </w:lvl>
    <w:lvl w:ilvl="1">
      <w:start w:val="1"/>
      <w:numFmt w:val="decimal"/>
      <w:isLgl w:val="false"/>
      <w:suff w:val="tab"/>
      <w:lvlText w:val="6.%2."/>
      <w:lvlJc w:val="left"/>
      <w:pPr>
        <w:ind w:left="1226" w:hanging="375"/>
      </w:pPr>
      <w:rPr>
        <w:rFonts w:ascii="Times New Roman" w:hAnsi="Times New Roman" w:cs="Times New Roman"/>
        <w:b/>
        <w:sz w:val="24"/>
        <w:szCs w:val="24"/>
      </w:r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13">
    <w:multiLevelType w:val="hybridMultilevel"/>
    <w:lvl w:ilvl="0">
      <w:start w:val="1"/>
      <w:numFmt w:val="decimal"/>
      <w:isLgl w:val="false"/>
      <w:suff w:val="tab"/>
      <w:lvlText w:val="7.3.21.%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6"/>
      <w:numFmt w:val="decimal"/>
      <w:isLgl w:val="false"/>
      <w:suff w:val="tab"/>
      <w:lvlText w:val="%1."/>
      <w:lvlJc w:val="left"/>
      <w:pPr>
        <w:ind w:left="675" w:hanging="675"/>
      </w:pPr>
    </w:lvl>
    <w:lvl w:ilvl="1">
      <w:start w:val="3"/>
      <w:numFmt w:val="decimal"/>
      <w:isLgl w:val="false"/>
      <w:suff w:val="tab"/>
      <w:lvlText w:val="%1.%2."/>
      <w:lvlJc w:val="left"/>
      <w:pPr>
        <w:ind w:left="1145" w:hanging="720"/>
      </w:pPr>
    </w:lvl>
    <w:lvl w:ilvl="2">
      <w:start w:val="1"/>
      <w:numFmt w:val="decimal"/>
      <w:isLgl w:val="false"/>
      <w:suff w:val="tab"/>
      <w:lvlText w:val="7.3.%3."/>
      <w:lvlJc w:val="left"/>
      <w:pPr>
        <w:ind w:left="1570" w:hanging="720"/>
      </w:pPr>
      <w:rPr>
        <w:b w:val="0"/>
      </w:rPr>
    </w:lvl>
    <w:lvl w:ilvl="3">
      <w:start w:val="1"/>
      <w:numFmt w:val="decimal"/>
      <w:isLgl w:val="false"/>
      <w:suff w:val="tab"/>
      <w:lvlText w:val="%1.%2.%3.%4."/>
      <w:lvlJc w:val="left"/>
      <w:pPr>
        <w:ind w:left="2355" w:hanging="1080"/>
      </w:pPr>
    </w:lvl>
    <w:lvl w:ilvl="4">
      <w:start w:val="1"/>
      <w:numFmt w:val="decimal"/>
      <w:isLgl w:val="false"/>
      <w:suff w:val="tab"/>
      <w:lvlText w:val="%1.%2.%3.%4.%5."/>
      <w:lvlJc w:val="left"/>
      <w:pPr>
        <w:ind w:left="2780" w:hanging="1080"/>
      </w:pPr>
    </w:lvl>
    <w:lvl w:ilvl="5">
      <w:start w:val="1"/>
      <w:numFmt w:val="decimal"/>
      <w:isLgl w:val="false"/>
      <w:suff w:val="tab"/>
      <w:lvlText w:val="%1.%2.%3.%4.%5.%6."/>
      <w:lvlJc w:val="left"/>
      <w:pPr>
        <w:ind w:left="3565" w:hanging="1440"/>
      </w:pPr>
    </w:lvl>
    <w:lvl w:ilvl="6">
      <w:start w:val="1"/>
      <w:numFmt w:val="decimal"/>
      <w:isLgl w:val="false"/>
      <w:suff w:val="tab"/>
      <w:lvlText w:val="%1.%2.%3.%4.%5.%6.%7."/>
      <w:lvlJc w:val="left"/>
      <w:pPr>
        <w:ind w:left="4350" w:hanging="1800"/>
      </w:pPr>
    </w:lvl>
    <w:lvl w:ilvl="7">
      <w:start w:val="1"/>
      <w:numFmt w:val="decimal"/>
      <w:isLgl w:val="false"/>
      <w:suff w:val="tab"/>
      <w:lvlText w:val="%1.%2.%3.%4.%5.%6.%7.%8."/>
      <w:lvlJc w:val="left"/>
      <w:pPr>
        <w:ind w:left="4775" w:hanging="1800"/>
      </w:pPr>
    </w:lvl>
    <w:lvl w:ilvl="8">
      <w:start w:val="1"/>
      <w:numFmt w:val="decimal"/>
      <w:isLgl w:val="false"/>
      <w:suff w:val="tab"/>
      <w:lvlText w:val="%1.%2.%3.%4.%5.%6.%7.%8.%9."/>
      <w:lvlJc w:val="left"/>
      <w:pPr>
        <w:ind w:left="5560" w:hanging="2160"/>
      </w:pPr>
    </w:lvl>
  </w:abstractNum>
  <w:abstractNum w:abstractNumId="15">
    <w:multiLevelType w:val="hybridMultilevel"/>
    <w:lvl w:ilvl="0">
      <w:start w:val="14"/>
      <w:numFmt w:val="decimal"/>
      <w:isLgl w:val="false"/>
      <w:suff w:val="tab"/>
      <w:lvlText w:val="%1."/>
      <w:lvlJc w:val="left"/>
      <w:pPr>
        <w:ind w:left="810" w:hanging="810"/>
      </w:pPr>
      <w:rPr>
        <w:b w:val="0"/>
      </w:rPr>
    </w:lvl>
    <w:lvl w:ilvl="1">
      <w:start w:val="1"/>
      <w:numFmt w:val="decimal"/>
      <w:isLgl w:val="false"/>
      <w:suff w:val="tab"/>
      <w:lvlText w:val="%1.%2."/>
      <w:lvlJc w:val="left"/>
      <w:pPr>
        <w:ind w:left="1377" w:hanging="810"/>
      </w:pPr>
      <w:rPr>
        <w:b w:val="0"/>
      </w:rPr>
    </w:lvl>
    <w:lvl w:ilvl="2">
      <w:start w:val="1"/>
      <w:numFmt w:val="decimal"/>
      <w:isLgl w:val="false"/>
      <w:suff w:val="tab"/>
      <w:lvlText w:val="%1.%2.%3."/>
      <w:lvlJc w:val="left"/>
      <w:pPr>
        <w:ind w:left="2228" w:hanging="810"/>
      </w:pPr>
      <w:rPr>
        <w:b w:val="0"/>
        <w:sz w:val="28"/>
      </w:rPr>
    </w:lvl>
    <w:lvl w:ilvl="3">
      <w:start w:val="1"/>
      <w:numFmt w:val="decimal"/>
      <w:isLgl w:val="false"/>
      <w:suff w:val="tab"/>
      <w:lvlText w:val="%1.%2.%3.%4."/>
      <w:lvlJc w:val="left"/>
      <w:pPr>
        <w:ind w:left="2781" w:hanging="1080"/>
      </w:pPr>
      <w:rPr>
        <w:b w:val="0"/>
      </w:rPr>
    </w:lvl>
    <w:lvl w:ilvl="4">
      <w:start w:val="1"/>
      <w:numFmt w:val="decimal"/>
      <w:isLgl w:val="false"/>
      <w:suff w:val="tab"/>
      <w:lvlText w:val="%1.%2.%3.%4.%5."/>
      <w:lvlJc w:val="left"/>
      <w:pPr>
        <w:ind w:left="3348" w:hanging="1080"/>
      </w:pPr>
      <w:rPr>
        <w:b w:val="0"/>
      </w:rPr>
    </w:lvl>
    <w:lvl w:ilvl="5">
      <w:start w:val="1"/>
      <w:numFmt w:val="decimal"/>
      <w:isLgl w:val="false"/>
      <w:suff w:val="tab"/>
      <w:lvlText w:val="%1.%2.%3.%4.%5.%6."/>
      <w:lvlJc w:val="left"/>
      <w:pPr>
        <w:ind w:left="4275" w:hanging="1440"/>
      </w:pPr>
      <w:rPr>
        <w:b w:val="0"/>
      </w:rPr>
    </w:lvl>
    <w:lvl w:ilvl="6">
      <w:start w:val="1"/>
      <w:numFmt w:val="decimal"/>
      <w:isLgl w:val="false"/>
      <w:suff w:val="tab"/>
      <w:lvlText w:val="%1.%2.%3.%4.%5.%6.%7."/>
      <w:lvlJc w:val="left"/>
      <w:pPr>
        <w:ind w:left="5202" w:hanging="1800"/>
      </w:pPr>
      <w:rPr>
        <w:b w:val="0"/>
      </w:rPr>
    </w:lvl>
    <w:lvl w:ilvl="7">
      <w:start w:val="1"/>
      <w:numFmt w:val="decimal"/>
      <w:isLgl w:val="false"/>
      <w:suff w:val="tab"/>
      <w:lvlText w:val="%1.%2.%3.%4.%5.%6.%7.%8."/>
      <w:lvlJc w:val="left"/>
      <w:pPr>
        <w:ind w:left="5769" w:hanging="1800"/>
      </w:pPr>
      <w:rPr>
        <w:b w:val="0"/>
      </w:rPr>
    </w:lvl>
    <w:lvl w:ilvl="8">
      <w:start w:val="1"/>
      <w:numFmt w:val="decimal"/>
      <w:isLgl w:val="false"/>
      <w:suff w:val="tab"/>
      <w:lvlText w:val="%1.%2.%3.%4.%5.%6.%7.%8.%9."/>
      <w:lvlJc w:val="left"/>
      <w:pPr>
        <w:ind w:left="6696" w:hanging="2160"/>
      </w:pPr>
      <w:rPr>
        <w:b w:val="0"/>
      </w:rPr>
    </w:lvl>
  </w:abstractNum>
  <w:abstractNum w:abstractNumId="16">
    <w:multiLevelType w:val="hybridMultilevel"/>
    <w:lvl w:ilvl="0">
      <w:start w:val="15"/>
      <w:numFmt w:val="decimal"/>
      <w:isLgl w:val="false"/>
      <w:suff w:val="tab"/>
      <w:lvlText w:val="%1."/>
      <w:lvlJc w:val="left"/>
      <w:pPr>
        <w:ind w:left="600" w:hanging="600"/>
      </w:pPr>
      <w:rPr>
        <w:b/>
      </w:rPr>
    </w:lvl>
    <w:lvl w:ilvl="1">
      <w:start w:val="15"/>
      <w:numFmt w:val="decimal"/>
      <w:isLgl w:val="false"/>
      <w:suff w:val="tab"/>
      <w:lvlText w:val="16.%2."/>
      <w:lvlJc w:val="left"/>
      <w:pPr>
        <w:ind w:left="1429" w:hanging="720"/>
      </w:pPr>
      <w:rPr>
        <w:b w:val="0"/>
      </w:rPr>
    </w:lvl>
    <w:lvl w:ilvl="2">
      <w:start w:val="1"/>
      <w:numFmt w:val="decimal"/>
      <w:isLgl w:val="false"/>
      <w:suff w:val="tab"/>
      <w:lvlText w:val="16.1.%3."/>
      <w:lvlJc w:val="left"/>
      <w:pPr>
        <w:ind w:left="1713" w:hanging="720"/>
      </w:pPr>
      <w:rPr>
        <w:b w:val="0"/>
        <w:color w:val="000000"/>
        <w:sz w:val="28"/>
        <w:szCs w:val="28"/>
      </w:rPr>
    </w:lvl>
    <w:lvl w:ilvl="3">
      <w:start w:val="1"/>
      <w:numFmt w:val="thaiNumbers"/>
      <w:isLgl w:val="false"/>
      <w:suff w:val="tab"/>
      <w:lvlText w:val="%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17">
    <w:multiLevelType w:val="hybridMultilevel"/>
    <w:lvl w:ilvl="0">
      <w:start w:val="11"/>
      <w:numFmt w:val="decimal"/>
      <w:isLgl w:val="false"/>
      <w:suff w:val="tab"/>
      <w:lvlText w:val="%1."/>
      <w:lvlJc w:val="left"/>
      <w:pPr>
        <w:ind w:left="825" w:hanging="825"/>
      </w:pPr>
    </w:lvl>
    <w:lvl w:ilvl="1">
      <w:start w:val="2"/>
      <w:numFmt w:val="decimal"/>
      <w:isLgl w:val="false"/>
      <w:suff w:val="tab"/>
      <w:lvlText w:val="12.%2."/>
      <w:lvlJc w:val="left"/>
      <w:pPr>
        <w:ind w:left="1179" w:hanging="825"/>
      </w:pPr>
      <w:rPr>
        <w:b/>
        <w:sz w:val="28"/>
        <w:szCs w:val="28"/>
      </w:rPr>
    </w:lvl>
    <w:lvl w:ilvl="2">
      <w:start w:val="1"/>
      <w:numFmt w:val="decimal"/>
      <w:isLgl w:val="false"/>
      <w:suff w:val="tab"/>
      <w:lvlText w:val="12.1.%3."/>
      <w:lvlJc w:val="left"/>
      <w:pPr>
        <w:ind w:left="1533" w:hanging="825"/>
      </w:pPr>
      <w:rPr>
        <w:b w:val="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18">
    <w:multiLevelType w:val="hybridMultilevel"/>
    <w:lvl w:ilvl="0">
      <w:start w:val="1"/>
      <w:numFmt w:val="decimal"/>
      <w:isLgl w:val="false"/>
      <w:suff w:val="tab"/>
      <w:lvlText w:val="14.2.1.%1."/>
      <w:lvlJc w:val="left"/>
      <w:pPr>
        <w:ind w:left="142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3.1.6.%1."/>
      <w:lvlJc w:val="left"/>
      <w:pPr>
        <w:ind w:left="2138" w:hanging="360"/>
      </w:pPr>
    </w:lvl>
    <w:lvl w:ilvl="1">
      <w:start w:val="1"/>
      <w:numFmt w:val="decimal"/>
      <w:isLgl w:val="false"/>
      <w:suff w:val="tab"/>
      <w:lvlText w:val="13.1.6.%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6"/>
      <w:numFmt w:val="decimal"/>
      <w:isLgl w:val="false"/>
      <w:suff w:val="tab"/>
      <w:lvlText w:val="6.%1."/>
      <w:lvlJc w:val="left"/>
      <w:pPr>
        <w:ind w:left="1091" w:hanging="360"/>
      </w:pPr>
      <w:rPr>
        <w:rFonts w:ascii="Times New Roman" w:hAnsi="Times New Roman" w:cs="Times New Roman"/>
        <w:b/>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2">
    <w:multiLevelType w:val="hybridMultilevel"/>
    <w:lvl w:ilvl="0">
      <w:start w:val="1"/>
      <w:numFmt w:val="decimal"/>
      <w:isLgl w:val="false"/>
      <w:suff w:val="tab"/>
      <w:lvlText w:val="6.7.12.%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6"/>
      <w:numFmt w:val="decimal"/>
      <w:isLgl w:val="false"/>
      <w:suff w:val="tab"/>
      <w:lvlText w:val="%1."/>
      <w:lvlJc w:val="left"/>
      <w:pPr>
        <w:ind w:left="1429" w:hanging="360"/>
      </w:pPr>
      <w:rPr>
        <w:b/>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decimal"/>
      <w:isLgl w:val="false"/>
      <w:suff w:val="tab"/>
      <w:lvlText w:val="7.3.%1."/>
      <w:lvlJc w:val="left"/>
      <w:pPr>
        <w:ind w:left="2138" w:hanging="360"/>
      </w:pPr>
    </w:lvl>
    <w:lvl w:ilvl="1">
      <w:start w:val="1"/>
      <w:numFmt w:val="decimal"/>
      <w:isLgl w:val="false"/>
      <w:suff w:val="tab"/>
      <w:lvlText w:val="8.3.%2."/>
      <w:lvlJc w:val="left"/>
      <w:pPr>
        <w:ind w:left="107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4"/>
      <w:numFmt w:val="decimal"/>
      <w:isLgl w:val="false"/>
      <w:suff w:val="tab"/>
      <w:lvlText w:val="%1."/>
      <w:lvlJc w:val="left"/>
      <w:pPr>
        <w:ind w:left="825" w:hanging="825"/>
      </w:pPr>
      <w:rPr>
        <w:color w:val="000000"/>
      </w:rPr>
    </w:lvl>
    <w:lvl w:ilvl="1">
      <w:start w:val="2"/>
      <w:numFmt w:val="decimal"/>
      <w:isLgl w:val="false"/>
      <w:suff w:val="tab"/>
      <w:lvlText w:val="%1.%2."/>
      <w:lvlJc w:val="left"/>
      <w:pPr>
        <w:ind w:left="1392" w:hanging="825"/>
      </w:pPr>
      <w:rPr>
        <w:color w:val="000000"/>
      </w:rPr>
    </w:lvl>
    <w:lvl w:ilvl="2">
      <w:start w:val="1"/>
      <w:numFmt w:val="decimal"/>
      <w:isLgl w:val="false"/>
      <w:suff w:val="tab"/>
      <w:lvlText w:val="%1.%2.%3."/>
      <w:lvlJc w:val="left"/>
      <w:pPr>
        <w:ind w:left="1959" w:hanging="825"/>
      </w:pPr>
      <w:rPr>
        <w:b w:val="0"/>
        <w:color w:val="000000"/>
        <w:sz w:val="28"/>
        <w:szCs w:val="28"/>
      </w:rPr>
    </w:lvl>
    <w:lvl w:ilvl="3">
      <w:start w:val="1"/>
      <w:numFmt w:val="decimal"/>
      <w:isLgl w:val="false"/>
      <w:suff w:val="tab"/>
      <w:lvlText w:val="%1.%2.%3.%4."/>
      <w:lvlJc w:val="left"/>
      <w:pPr>
        <w:ind w:left="2781" w:hanging="1080"/>
      </w:pPr>
      <w:rPr>
        <w:color w:val="000000"/>
      </w:rPr>
    </w:lvl>
    <w:lvl w:ilvl="4">
      <w:start w:val="1"/>
      <w:numFmt w:val="decimal"/>
      <w:isLgl w:val="false"/>
      <w:suff w:val="tab"/>
      <w:lvlText w:val="%1.%2.%3.%4.%5."/>
      <w:lvlJc w:val="left"/>
      <w:pPr>
        <w:ind w:left="3348" w:hanging="1080"/>
      </w:pPr>
      <w:rPr>
        <w:color w:val="000000"/>
      </w:rPr>
    </w:lvl>
    <w:lvl w:ilvl="5">
      <w:start w:val="1"/>
      <w:numFmt w:val="decimal"/>
      <w:isLgl w:val="false"/>
      <w:suff w:val="tab"/>
      <w:lvlText w:val="%1.%2.%3.%4.%5.%6."/>
      <w:lvlJc w:val="left"/>
      <w:pPr>
        <w:ind w:left="4275" w:hanging="1440"/>
      </w:pPr>
      <w:rPr>
        <w:color w:val="000000"/>
      </w:rPr>
    </w:lvl>
    <w:lvl w:ilvl="6">
      <w:start w:val="1"/>
      <w:numFmt w:val="decimal"/>
      <w:isLgl w:val="false"/>
      <w:suff w:val="tab"/>
      <w:lvlText w:val="%1.%2.%3.%4.%5.%6.%7."/>
      <w:lvlJc w:val="left"/>
      <w:pPr>
        <w:ind w:left="5202" w:hanging="1800"/>
      </w:pPr>
      <w:rPr>
        <w:color w:val="000000"/>
      </w:rPr>
    </w:lvl>
    <w:lvl w:ilvl="7">
      <w:start w:val="1"/>
      <w:numFmt w:val="decimal"/>
      <w:isLgl w:val="false"/>
      <w:suff w:val="tab"/>
      <w:lvlText w:val="%1.%2.%3.%4.%5.%6.%7.%8."/>
      <w:lvlJc w:val="left"/>
      <w:pPr>
        <w:ind w:left="5769" w:hanging="1800"/>
      </w:pPr>
      <w:rPr>
        <w:color w:val="000000"/>
      </w:rPr>
    </w:lvl>
    <w:lvl w:ilvl="8">
      <w:start w:val="1"/>
      <w:numFmt w:val="decimal"/>
      <w:isLgl w:val="false"/>
      <w:suff w:val="tab"/>
      <w:lvlText w:val="%1.%2.%3.%4.%5.%6.%7.%8.%9."/>
      <w:lvlJc w:val="left"/>
      <w:pPr>
        <w:ind w:left="6696" w:hanging="2160"/>
      </w:pPr>
      <w:rPr>
        <w:color w:val="000000"/>
      </w:rPr>
    </w:lvl>
  </w:abstractNum>
  <w:abstractNum w:abstractNumId="26">
    <w:multiLevelType w:val="hybridMultilevel"/>
    <w:lvl w:ilvl="0">
      <w:start w:val="1"/>
      <w:numFmt w:val="decimal"/>
      <w:isLgl w:val="false"/>
      <w:suff w:val="tab"/>
      <w:lvlText w:val="6.9.2.%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3"/>
      <w:numFmt w:val="decimal"/>
      <w:isLgl w:val="false"/>
      <w:suff w:val="tab"/>
      <w:lvlText w:val="%1."/>
      <w:lvlJc w:val="left"/>
      <w:pPr>
        <w:ind w:left="900" w:hanging="900"/>
      </w:pPr>
    </w:lvl>
    <w:lvl w:ilvl="1">
      <w:start w:val="3"/>
      <w:numFmt w:val="decimal"/>
      <w:isLgl w:val="false"/>
      <w:suff w:val="tab"/>
      <w:lvlText w:val="4.%2."/>
      <w:lvlJc w:val="left"/>
      <w:pPr>
        <w:ind w:left="1256" w:hanging="900"/>
      </w:pPr>
    </w:lvl>
    <w:lvl w:ilvl="2">
      <w:start w:val="3"/>
      <w:numFmt w:val="decimal"/>
      <w:isLgl w:val="false"/>
      <w:suff w:val="tab"/>
      <w:lvlText w:val="3.3.%3."/>
      <w:lvlJc w:val="left"/>
      <w:pPr>
        <w:ind w:left="1612" w:hanging="900"/>
      </w:pPr>
      <w:rPr>
        <w:color w:val="000000"/>
        <w:sz w:val="28"/>
      </w:rPr>
    </w:lvl>
    <w:lvl w:ilvl="3">
      <w:start w:val="1"/>
      <w:numFmt w:val="decimal"/>
      <w:isLgl w:val="false"/>
      <w:suff w:val="tab"/>
      <w:lvlText w:val="3.2.5.%4."/>
      <w:lvlJc w:val="left"/>
      <w:pPr>
        <w:ind w:left="8169" w:hanging="1080"/>
      </w:pPr>
      <w:rPr>
        <w:b w:val="0"/>
      </w:r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28">
    <w:multiLevelType w:val="hybridMultilevel"/>
    <w:lvl w:ilvl="0">
      <w:start w:val="5"/>
      <w:numFmt w:val="decimal"/>
      <w:isLgl w:val="false"/>
      <w:suff w:val="tab"/>
      <w:lvlText w:val="%1."/>
      <w:lvlJc w:val="left"/>
      <w:pPr>
        <w:ind w:left="900" w:hanging="900"/>
      </w:pPr>
    </w:lvl>
    <w:lvl w:ilvl="1">
      <w:start w:val="4"/>
      <w:numFmt w:val="decimal"/>
      <w:isLgl w:val="false"/>
      <w:suff w:val="tab"/>
      <w:lvlText w:val="%1.%2."/>
      <w:lvlJc w:val="left"/>
      <w:pPr>
        <w:ind w:left="1256" w:hanging="900"/>
      </w:pPr>
    </w:lvl>
    <w:lvl w:ilvl="2">
      <w:start w:val="3"/>
      <w:numFmt w:val="decimal"/>
      <w:isLgl w:val="false"/>
      <w:suff w:val="tab"/>
      <w:lvlText w:val="3.5.%3."/>
      <w:lvlJc w:val="left"/>
      <w:pPr>
        <w:ind w:left="1893" w:hanging="900"/>
      </w:pPr>
      <w:rPr>
        <w:color w:val="000000"/>
        <w:sz w:val="24"/>
        <w:szCs w:val="24"/>
      </w:rPr>
    </w:lvl>
    <w:lvl w:ilvl="3">
      <w:start w:val="1"/>
      <w:numFmt w:val="decimal"/>
      <w:isLgl w:val="false"/>
      <w:suff w:val="tab"/>
      <w:lvlText w:val="3.5.2.%4."/>
      <w:lvlJc w:val="left"/>
      <w:pPr>
        <w:ind w:left="8169" w:hanging="1080"/>
      </w:p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29">
    <w:multiLevelType w:val="hybridMultilevel"/>
    <w:lvl w:ilvl="0">
      <w:start w:val="7"/>
      <w:numFmt w:val="decimal"/>
      <w:isLgl w:val="false"/>
      <w:suff w:val="tab"/>
      <w:lvlText w:val="%1."/>
      <w:lvlJc w:val="left"/>
      <w:pPr>
        <w:ind w:left="375" w:hanging="375"/>
      </w:pPr>
      <w:rPr>
        <w:sz w:val="32"/>
        <w:szCs w:val="32"/>
      </w:rPr>
    </w:lvl>
    <w:lvl w:ilvl="1">
      <w:start w:val="10"/>
      <w:numFmt w:val="decimal"/>
      <w:isLgl w:val="false"/>
      <w:suff w:val="tab"/>
      <w:lvlText w:val="%1.%2"/>
      <w:lvlJc w:val="left"/>
      <w:pPr>
        <w:ind w:left="1084" w:hanging="375"/>
      </w:pPr>
    </w:lvl>
    <w:lvl w:ilvl="2">
      <w:start w:val="10"/>
      <w:numFmt w:val="decimal"/>
      <w:isLgl w:val="false"/>
      <w:suff w:val="tab"/>
      <w:lvlText w:val="6.10.%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30">
    <w:multiLevelType w:val="hybridMultilevel"/>
    <w:lvl w:ilvl="0">
      <w:start w:val="6"/>
      <w:numFmt w:val="decimal"/>
      <w:isLgl w:val="false"/>
      <w:suff w:val="tab"/>
      <w:lvlText w:val="%1"/>
      <w:lvlJc w:val="left"/>
      <w:pPr>
        <w:ind w:left="960" w:hanging="960"/>
      </w:pPr>
    </w:lvl>
    <w:lvl w:ilvl="1">
      <w:start w:val="8"/>
      <w:numFmt w:val="decimal"/>
      <w:isLgl w:val="false"/>
      <w:suff w:val="tab"/>
      <w:lvlText w:val="%1.%2"/>
      <w:lvlJc w:val="left"/>
      <w:pPr>
        <w:ind w:left="1436" w:hanging="960"/>
      </w:pPr>
    </w:lvl>
    <w:lvl w:ilvl="2">
      <w:start w:val="17"/>
      <w:numFmt w:val="decimal"/>
      <w:isLgl w:val="false"/>
      <w:suff w:val="tab"/>
      <w:lvlText w:val="%1.%2.%3"/>
      <w:lvlJc w:val="left"/>
      <w:pPr>
        <w:ind w:left="1912" w:hanging="960"/>
      </w:pPr>
    </w:lvl>
    <w:lvl w:ilvl="3">
      <w:start w:val="2"/>
      <w:numFmt w:val="decimal"/>
      <w:isLgl w:val="false"/>
      <w:suff w:val="tab"/>
      <w:lvlText w:val="%1.%2.%3.%4"/>
      <w:lvlJc w:val="left"/>
      <w:pPr>
        <w:ind w:left="2508" w:hanging="1080"/>
      </w:pPr>
    </w:lvl>
    <w:lvl w:ilvl="4">
      <w:start w:val="1"/>
      <w:numFmt w:val="decimal"/>
      <w:isLgl w:val="false"/>
      <w:suff w:val="tab"/>
      <w:lvlText w:val="%1.%2.%3.%4.%5"/>
      <w:lvlJc w:val="left"/>
      <w:pPr>
        <w:ind w:left="2984" w:hanging="1080"/>
      </w:pPr>
    </w:lvl>
    <w:lvl w:ilvl="5">
      <w:start w:val="1"/>
      <w:numFmt w:val="decimal"/>
      <w:isLgl w:val="false"/>
      <w:suff w:val="tab"/>
      <w:lvlText w:val="%1.%2.%3.%4.%5.%6"/>
      <w:lvlJc w:val="left"/>
      <w:pPr>
        <w:ind w:left="3820" w:hanging="1440"/>
      </w:pPr>
    </w:lvl>
    <w:lvl w:ilvl="6">
      <w:start w:val="1"/>
      <w:numFmt w:val="decimal"/>
      <w:isLgl w:val="false"/>
      <w:suff w:val="tab"/>
      <w:lvlText w:val="%1.%2.%3.%4.%5.%6.%7"/>
      <w:lvlJc w:val="left"/>
      <w:pPr>
        <w:ind w:left="4296" w:hanging="1440"/>
      </w:pPr>
    </w:lvl>
    <w:lvl w:ilvl="7">
      <w:start w:val="1"/>
      <w:numFmt w:val="decimal"/>
      <w:isLgl w:val="false"/>
      <w:suff w:val="tab"/>
      <w:lvlText w:val="%1.%2.%3.%4.%5.%6.%7.%8"/>
      <w:lvlJc w:val="left"/>
      <w:pPr>
        <w:ind w:left="5132" w:hanging="1800"/>
      </w:pPr>
    </w:lvl>
    <w:lvl w:ilvl="8">
      <w:start w:val="1"/>
      <w:numFmt w:val="decimal"/>
      <w:isLgl w:val="false"/>
      <w:suff w:val="tab"/>
      <w:lvlText w:val="%1.%2.%3.%4.%5.%6.%7.%8.%9"/>
      <w:lvlJc w:val="left"/>
      <w:pPr>
        <w:ind w:left="5968" w:hanging="2160"/>
      </w:pPr>
    </w:lvl>
  </w:abstractNum>
  <w:abstractNum w:abstractNumId="31">
    <w:multiLevelType w:val="hybridMultilevel"/>
    <w:lvl w:ilvl="0">
      <w:start w:val="1"/>
      <w:numFmt w:val="decimal"/>
      <w:isLgl w:val="false"/>
      <w:suff w:val="tab"/>
      <w:lvlText w:val="5.1.31.%1."/>
      <w:lvlJc w:val="left"/>
      <w:pPr>
        <w:ind w:left="1789" w:hanging="360"/>
      </w:pPr>
    </w:lvl>
    <w:lvl w:ilvl="1">
      <w:start w:val="1"/>
      <w:numFmt w:val="decimal"/>
      <w:isLgl w:val="false"/>
      <w:suff w:val="tab"/>
      <w:lvlText w:val="6.1.37.%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2">
    <w:multiLevelType w:val="hybridMultilevel"/>
    <w:lvl w:ilvl="0">
      <w:start w:val="5"/>
      <w:numFmt w:val="decimal"/>
      <w:isLgl w:val="false"/>
      <w:suff w:val="tab"/>
      <w:lvlText w:val="%1."/>
      <w:lvlJc w:val="left"/>
      <w:pPr>
        <w:ind w:left="675" w:hanging="675"/>
      </w:pPr>
    </w:lvl>
    <w:lvl w:ilvl="1">
      <w:start w:val="3"/>
      <w:numFmt w:val="decimal"/>
      <w:isLgl w:val="false"/>
      <w:suff w:val="tab"/>
      <w:lvlText w:val="6.%2."/>
      <w:lvlJc w:val="left"/>
      <w:pPr>
        <w:ind w:left="1074" w:hanging="720"/>
      </w:pPr>
      <w:rPr>
        <w:b/>
      </w:rPr>
    </w:lvl>
    <w:lvl w:ilvl="2">
      <w:start w:val="12"/>
      <w:numFmt w:val="decimal"/>
      <w:isLgl w:val="false"/>
      <w:suff w:val="tab"/>
      <w:lvlText w:val="6.4.%3."/>
      <w:lvlJc w:val="left"/>
      <w:pPr>
        <w:ind w:left="1571" w:hanging="720"/>
      </w:pPr>
      <w:rPr>
        <w:b w:val="0"/>
        <w:color w:val="000000"/>
        <w:sz w:val="28"/>
        <w:szCs w:val="28"/>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33">
    <w:multiLevelType w:val="hybridMultilevel"/>
    <w:lvl w:ilvl="0">
      <w:start w:val="1"/>
      <w:numFmt w:val="decimal"/>
      <w:isLgl w:val="false"/>
      <w:suff w:val="tab"/>
      <w:lvlText w:val="11.17.%1."/>
      <w:lvlJc w:val="left"/>
      <w:pPr>
        <w:ind w:left="1443" w:hanging="450"/>
      </w:pPr>
    </w:lvl>
    <w:lvl w:ilvl="1">
      <w:start w:val="1"/>
      <w:numFmt w:val="decimal"/>
      <w:isLgl w:val="false"/>
      <w:suff w:val="tab"/>
      <w:lvlText w:val="%1.%2."/>
      <w:lvlJc w:val="left"/>
      <w:pPr>
        <w:ind w:left="2138" w:hanging="720"/>
      </w:pPr>
      <w:rPr>
        <w:b w:val="0"/>
      </w:rPr>
    </w:lvl>
    <w:lvl w:ilvl="2">
      <w:start w:val="8"/>
      <w:numFmt w:val="decimal"/>
      <w:isLgl w:val="false"/>
      <w:suff w:val="tab"/>
      <w:lvlText w:val="%3.2."/>
      <w:lvlJc w:val="left"/>
      <w:pPr>
        <w:ind w:left="2421" w:hanging="720"/>
      </w:pPr>
    </w:lvl>
    <w:lvl w:ilvl="3">
      <w:start w:val="1"/>
      <w:numFmt w:val="decimal"/>
      <w:isLgl w:val="false"/>
      <w:suff w:val="tab"/>
      <w:lvlText w:val="%1.%2.%3.%4."/>
      <w:lvlJc w:val="left"/>
      <w:pPr>
        <w:ind w:left="3490" w:hanging="1080"/>
      </w:pPr>
    </w:lvl>
    <w:lvl w:ilvl="4">
      <w:start w:val="1"/>
      <w:numFmt w:val="decimal"/>
      <w:isLgl w:val="false"/>
      <w:suff w:val="tab"/>
      <w:lvlText w:val="%1.%2.%3.%4.%5."/>
      <w:lvlJc w:val="left"/>
      <w:pPr>
        <w:ind w:left="4199" w:hanging="1080"/>
      </w:pPr>
    </w:lvl>
    <w:lvl w:ilvl="5">
      <w:start w:val="1"/>
      <w:numFmt w:val="decimal"/>
      <w:isLgl w:val="false"/>
      <w:suff w:val="tab"/>
      <w:lvlText w:val="%1.%2.%3.%4.%5.%6."/>
      <w:lvlJc w:val="left"/>
      <w:pPr>
        <w:ind w:left="5268" w:hanging="1440"/>
      </w:pPr>
    </w:lvl>
    <w:lvl w:ilvl="6">
      <w:start w:val="1"/>
      <w:numFmt w:val="decimal"/>
      <w:isLgl w:val="false"/>
      <w:suff w:val="tab"/>
      <w:lvlText w:val="%1.%2.%3.%4.%5.%6.%7."/>
      <w:lvlJc w:val="left"/>
      <w:pPr>
        <w:ind w:left="6337" w:hanging="1800"/>
      </w:pPr>
    </w:lvl>
    <w:lvl w:ilvl="7">
      <w:start w:val="1"/>
      <w:numFmt w:val="decimal"/>
      <w:isLgl w:val="false"/>
      <w:suff w:val="tab"/>
      <w:lvlText w:val="%1.%2.%3.%4.%5.%6.%7.%8."/>
      <w:lvlJc w:val="left"/>
      <w:pPr>
        <w:ind w:left="7046" w:hanging="1800"/>
      </w:pPr>
    </w:lvl>
    <w:lvl w:ilvl="8">
      <w:start w:val="1"/>
      <w:numFmt w:val="decimal"/>
      <w:isLgl w:val="false"/>
      <w:suff w:val="tab"/>
      <w:lvlText w:val="%1.%2.%3.%4.%5.%6.%7.%8.%9."/>
      <w:lvlJc w:val="left"/>
      <w:pPr>
        <w:ind w:left="8115" w:hanging="2160"/>
      </w:pPr>
    </w:lvl>
  </w:abstractNum>
  <w:abstractNum w:abstractNumId="34">
    <w:multiLevelType w:val="hybridMultilevel"/>
    <w:lvl w:ilvl="0">
      <w:start w:val="1"/>
      <w:numFmt w:val="bullet"/>
      <w:pStyle w:val="1241"/>
      <w:isLgl w:val="false"/>
      <w:suff w:val="tab"/>
      <w:lvlText w:val=""/>
      <w:lvlJc w:val="left"/>
      <w:pPr>
        <w:ind w:left="1260" w:hanging="360"/>
      </w:pPr>
      <w:rPr>
        <w:rFonts w:ascii="Symbol" w:hAnsi="Symbol"/>
      </w:rPr>
    </w:lvl>
    <w:lvl w:ilvl="1">
      <w:start w:val="1"/>
      <w:numFmt w:val="bullet"/>
      <w:isLgl w:val="false"/>
      <w:suff w:val="tab"/>
      <w:lvlText w:val="o"/>
      <w:lvlJc w:val="left"/>
      <w:pPr>
        <w:ind w:left="1980" w:hanging="360"/>
      </w:pPr>
      <w:rPr>
        <w:rFonts w:ascii="Courier New" w:hAnsi="Courier New"/>
      </w:rPr>
    </w:lvl>
    <w:lvl w:ilvl="2">
      <w:start w:val="1"/>
      <w:numFmt w:val="bullet"/>
      <w:isLgl w:val="false"/>
      <w:suff w:val="tab"/>
      <w:lvlText w:val=""/>
      <w:lvlJc w:val="left"/>
      <w:pPr>
        <w:ind w:left="2700" w:hanging="360"/>
      </w:pPr>
      <w:rPr>
        <w:rFonts w:ascii="Wingdings" w:hAnsi="Wingdings"/>
      </w:rPr>
    </w:lvl>
    <w:lvl w:ilvl="3">
      <w:start w:val="1"/>
      <w:numFmt w:val="bullet"/>
      <w:isLgl w:val="false"/>
      <w:suff w:val="tab"/>
      <w:lvlText w:val=""/>
      <w:lvlJc w:val="left"/>
      <w:pPr>
        <w:ind w:left="3420" w:hanging="360"/>
      </w:pPr>
      <w:rPr>
        <w:rFonts w:ascii="Symbol" w:hAnsi="Symbol"/>
      </w:rPr>
    </w:lvl>
    <w:lvl w:ilvl="4">
      <w:start w:val="1"/>
      <w:numFmt w:val="bullet"/>
      <w:isLgl w:val="false"/>
      <w:suff w:val="tab"/>
      <w:lvlText w:val="o"/>
      <w:lvlJc w:val="left"/>
      <w:pPr>
        <w:ind w:left="4140" w:hanging="360"/>
      </w:pPr>
      <w:rPr>
        <w:rFonts w:ascii="Courier New" w:hAnsi="Courier New"/>
      </w:rPr>
    </w:lvl>
    <w:lvl w:ilvl="5">
      <w:start w:val="1"/>
      <w:numFmt w:val="bullet"/>
      <w:isLgl w:val="false"/>
      <w:suff w:val="tab"/>
      <w:lvlText w:val=""/>
      <w:lvlJc w:val="left"/>
      <w:pPr>
        <w:ind w:left="4860" w:hanging="360"/>
      </w:pPr>
      <w:rPr>
        <w:rFonts w:ascii="Wingdings" w:hAnsi="Wingdings"/>
      </w:rPr>
    </w:lvl>
    <w:lvl w:ilvl="6">
      <w:start w:val="1"/>
      <w:numFmt w:val="bullet"/>
      <w:isLgl w:val="false"/>
      <w:suff w:val="tab"/>
      <w:lvlText w:val=""/>
      <w:lvlJc w:val="left"/>
      <w:pPr>
        <w:ind w:left="5580" w:hanging="360"/>
      </w:pPr>
      <w:rPr>
        <w:rFonts w:ascii="Symbol" w:hAnsi="Symbol"/>
      </w:rPr>
    </w:lvl>
    <w:lvl w:ilvl="7">
      <w:start w:val="1"/>
      <w:numFmt w:val="bullet"/>
      <w:isLgl w:val="false"/>
      <w:suff w:val="tab"/>
      <w:lvlText w:val="o"/>
      <w:lvlJc w:val="left"/>
      <w:pPr>
        <w:ind w:left="6300" w:hanging="360"/>
      </w:pPr>
      <w:rPr>
        <w:rFonts w:ascii="Courier New" w:hAnsi="Courier New"/>
      </w:rPr>
    </w:lvl>
    <w:lvl w:ilvl="8">
      <w:start w:val="1"/>
      <w:numFmt w:val="bullet"/>
      <w:isLgl w:val="false"/>
      <w:suff w:val="tab"/>
      <w:lvlText w:val=""/>
      <w:lvlJc w:val="left"/>
      <w:pPr>
        <w:ind w:left="7020" w:hanging="360"/>
      </w:pPr>
      <w:rPr>
        <w:rFonts w:ascii="Wingdings" w:hAnsi="Wingdings"/>
      </w:rPr>
    </w:lvl>
  </w:abstractNum>
  <w:abstractNum w:abstractNumId="35">
    <w:multiLevelType w:val="hybridMultilevel"/>
    <w:lvl w:ilvl="0">
      <w:start w:val="1"/>
      <w:numFmt w:val="decimal"/>
      <w:isLgl w:val="false"/>
      <w:suff w:val="tab"/>
      <w:lvlText w:val="5.10.4.%1."/>
      <w:lvlJc w:val="left"/>
      <w:pPr>
        <w:ind w:left="2138" w:hanging="360"/>
      </w:pPr>
    </w:lvl>
    <w:lvl w:ilvl="1">
      <w:start w:val="1"/>
      <w:numFmt w:val="decimal"/>
      <w:isLgl w:val="false"/>
      <w:suff w:val="tab"/>
      <w:lvlText w:val="6.10.4.%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4"/>
      <w:numFmt w:val="decimal"/>
      <w:isLgl w:val="false"/>
      <w:suff w:val="tab"/>
      <w:lvlText w:val="%1."/>
      <w:lvlJc w:val="left"/>
      <w:pPr>
        <w:ind w:left="900" w:hanging="900"/>
      </w:pPr>
    </w:lvl>
    <w:lvl w:ilvl="1">
      <w:start w:val="1"/>
      <w:numFmt w:val="decimal"/>
      <w:isLgl w:val="false"/>
      <w:suff w:val="tab"/>
      <w:lvlText w:val="5.%2."/>
      <w:lvlJc w:val="left"/>
      <w:pPr>
        <w:ind w:left="1256" w:hanging="900"/>
      </w:pPr>
      <w:rPr>
        <w:rFonts w:ascii="Times New Roman" w:hAnsi="Times New Roman" w:cs="Times New Roman"/>
        <w:b w:val="0"/>
        <w:sz w:val="28"/>
        <w:szCs w:val="28"/>
      </w:rPr>
    </w:lvl>
    <w:lvl w:ilvl="2">
      <w:start w:val="3"/>
      <w:numFmt w:val="decimal"/>
      <w:isLgl w:val="false"/>
      <w:suff w:val="tab"/>
      <w:lvlText w:val="3.5.%3."/>
      <w:lvlJc w:val="left"/>
      <w:pPr>
        <w:ind w:left="1612" w:hanging="900"/>
      </w:pPr>
      <w:rPr>
        <w:color w:val="000000"/>
        <w:sz w:val="28"/>
      </w:rPr>
    </w:lvl>
    <w:lvl w:ilvl="3">
      <w:start w:val="1"/>
      <w:numFmt w:val="decimal"/>
      <w:isLgl w:val="false"/>
      <w:suff w:val="tab"/>
      <w:lvlText w:val="%1.%2.%3.%4."/>
      <w:lvlJc w:val="left"/>
      <w:pPr>
        <w:ind w:left="8169" w:hanging="1080"/>
      </w:p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37">
    <w:multiLevelType w:val="hybridMultilevel"/>
    <w:lvl w:ilvl="0">
      <w:start w:val="5"/>
      <w:numFmt w:val="decimal"/>
      <w:isLgl w:val="false"/>
      <w:suff w:val="tab"/>
      <w:lvlText w:val="%1."/>
      <w:lvlJc w:val="left"/>
      <w:pPr>
        <w:ind w:left="675" w:hanging="675"/>
      </w:pPr>
    </w:lvl>
    <w:lvl w:ilvl="1">
      <w:start w:val="5"/>
      <w:numFmt w:val="decimal"/>
      <w:isLgl w:val="false"/>
      <w:suff w:val="tab"/>
      <w:lvlText w:val="6.%2."/>
      <w:lvlJc w:val="left"/>
      <w:pPr>
        <w:ind w:left="1074" w:hanging="720"/>
      </w:pPr>
      <w:rPr>
        <w:b w:val="0"/>
      </w:rPr>
    </w:lvl>
    <w:lvl w:ilvl="2">
      <w:start w:val="1"/>
      <w:numFmt w:val="decimal"/>
      <w:isLgl w:val="false"/>
      <w:suff w:val="tab"/>
      <w:lvlText w:val="6.2.%3."/>
      <w:lvlJc w:val="left"/>
      <w:pPr>
        <w:ind w:left="1428" w:hanging="720"/>
      </w:pPr>
      <w:rPr>
        <w:b w:val="0"/>
        <w:color w:val="000000"/>
        <w:sz w:val="28"/>
        <w:szCs w:val="28"/>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38">
    <w:multiLevelType w:val="hybridMultilevel"/>
    <w:lvl w:ilvl="0">
      <w:start w:val="19"/>
      <w:numFmt w:val="decimal"/>
      <w:isLgl w:val="false"/>
      <w:suff w:val="tab"/>
      <w:lvlText w:val="6.4.%1."/>
      <w:lvlJc w:val="left"/>
      <w:pPr>
        <w:ind w:left="1440" w:hanging="360"/>
      </w:pPr>
      <w:rPr>
        <w:b w:val="0"/>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9">
    <w:multiLevelType w:val="hybridMultilevel"/>
    <w:lvl w:ilvl="0">
      <w:start w:val="1"/>
      <w:numFmt w:val="decimal"/>
      <w:isLgl w:val="false"/>
      <w:suff w:val="tab"/>
      <w:lvlText w:val="5.4.17.%1."/>
      <w:lvlJc w:val="left"/>
      <w:pPr>
        <w:ind w:left="2138" w:hanging="360"/>
      </w:pPr>
    </w:lvl>
    <w:lvl w:ilvl="1">
      <w:start w:val="1"/>
      <w:numFmt w:val="decimal"/>
      <w:isLgl w:val="false"/>
      <w:suff w:val="tab"/>
      <w:lvlText w:val="6.4.18.%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5"/>
      <w:numFmt w:val="decimal"/>
      <w:isLgl w:val="false"/>
      <w:suff w:val="tab"/>
      <w:lvlText w:val="%1."/>
      <w:lvlJc w:val="left"/>
      <w:pPr>
        <w:ind w:left="675" w:hanging="675"/>
      </w:pPr>
    </w:lvl>
    <w:lvl w:ilvl="1">
      <w:start w:val="3"/>
      <w:numFmt w:val="decimal"/>
      <w:isLgl w:val="false"/>
      <w:suff w:val="tab"/>
      <w:lvlText w:val="6.%2."/>
      <w:lvlJc w:val="left"/>
      <w:pPr>
        <w:ind w:left="1074" w:hanging="720"/>
      </w:pPr>
      <w:rPr>
        <w:b/>
      </w:rPr>
    </w:lvl>
    <w:lvl w:ilvl="2">
      <w:start w:val="14"/>
      <w:numFmt w:val="decimal"/>
      <w:isLgl w:val="false"/>
      <w:suff w:val="tab"/>
      <w:lvlText w:val="6.4.%3."/>
      <w:lvlJc w:val="left"/>
      <w:pPr>
        <w:ind w:left="1571" w:hanging="720"/>
      </w:pPr>
      <w:rPr>
        <w:b w:val="0"/>
        <w:color w:val="000000"/>
        <w:sz w:val="28"/>
        <w:szCs w:val="28"/>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41">
    <w:multiLevelType w:val="hybridMultilevel"/>
    <w:lvl w:ilvl="0">
      <w:start w:val="1"/>
      <w:numFmt w:val="decimal"/>
      <w:isLgl w:val="false"/>
      <w:suff w:val="tab"/>
      <w:lvlText w:val="3.4.3.%1."/>
      <w:lvlJc w:val="left"/>
      <w:pPr>
        <w:ind w:left="2847" w:hanging="360"/>
      </w:pPr>
    </w:lvl>
    <w:lvl w:ilvl="1">
      <w:start w:val="1"/>
      <w:numFmt w:val="decimal"/>
      <w:isLgl w:val="false"/>
      <w:suff w:val="tab"/>
      <w:lvlText w:val="4.4.4.%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2">
    <w:multiLevelType w:val="hybridMultilevel"/>
    <w:lvl w:ilvl="0">
      <w:start w:val="1"/>
      <w:numFmt w:val="bullet"/>
      <w:isLgl w:val="false"/>
      <w:suff w:val="tab"/>
      <w:lvlText w:val=""/>
      <w:lvlJc w:val="left"/>
      <w:pPr>
        <w:ind w:left="1260" w:hanging="360"/>
      </w:pPr>
      <w:rPr>
        <w:rFonts w:ascii="Symbol" w:hAnsi="Symbol"/>
      </w:rPr>
    </w:lvl>
    <w:lvl w:ilvl="1">
      <w:start w:val="1"/>
      <w:numFmt w:val="bullet"/>
      <w:isLgl w:val="false"/>
      <w:suff w:val="tab"/>
      <w:lvlText w:val="o"/>
      <w:lvlJc w:val="left"/>
      <w:pPr>
        <w:ind w:left="1980" w:hanging="360"/>
      </w:pPr>
      <w:rPr>
        <w:rFonts w:ascii="Courier New" w:hAnsi="Courier New"/>
      </w:rPr>
    </w:lvl>
    <w:lvl w:ilvl="2">
      <w:start w:val="1"/>
      <w:numFmt w:val="bullet"/>
      <w:isLgl w:val="false"/>
      <w:suff w:val="tab"/>
      <w:lvlText w:val=""/>
      <w:lvlJc w:val="left"/>
      <w:pPr>
        <w:ind w:left="2700" w:hanging="360"/>
      </w:pPr>
      <w:rPr>
        <w:rFonts w:ascii="Wingdings" w:hAnsi="Wingdings"/>
      </w:rPr>
    </w:lvl>
    <w:lvl w:ilvl="3">
      <w:start w:val="1"/>
      <w:numFmt w:val="bullet"/>
      <w:isLgl w:val="false"/>
      <w:suff w:val="tab"/>
      <w:lvlText w:val=""/>
      <w:lvlJc w:val="left"/>
      <w:pPr>
        <w:ind w:left="3420" w:hanging="360"/>
      </w:pPr>
      <w:rPr>
        <w:rFonts w:ascii="Symbol" w:hAnsi="Symbol"/>
      </w:rPr>
    </w:lvl>
    <w:lvl w:ilvl="4">
      <w:start w:val="1"/>
      <w:numFmt w:val="bullet"/>
      <w:isLgl w:val="false"/>
      <w:suff w:val="tab"/>
      <w:lvlText w:val="o"/>
      <w:lvlJc w:val="left"/>
      <w:pPr>
        <w:ind w:left="4140" w:hanging="360"/>
      </w:pPr>
      <w:rPr>
        <w:rFonts w:ascii="Courier New" w:hAnsi="Courier New"/>
      </w:rPr>
    </w:lvl>
    <w:lvl w:ilvl="5">
      <w:start w:val="1"/>
      <w:numFmt w:val="bullet"/>
      <w:isLgl w:val="false"/>
      <w:suff w:val="tab"/>
      <w:lvlText w:val=""/>
      <w:lvlJc w:val="left"/>
      <w:pPr>
        <w:ind w:left="4860" w:hanging="360"/>
      </w:pPr>
      <w:rPr>
        <w:rFonts w:ascii="Wingdings" w:hAnsi="Wingdings"/>
      </w:rPr>
    </w:lvl>
    <w:lvl w:ilvl="6">
      <w:start w:val="1"/>
      <w:numFmt w:val="bullet"/>
      <w:isLgl w:val="false"/>
      <w:suff w:val="tab"/>
      <w:lvlText w:val=""/>
      <w:lvlJc w:val="left"/>
      <w:pPr>
        <w:ind w:left="5580" w:hanging="360"/>
      </w:pPr>
      <w:rPr>
        <w:rFonts w:ascii="Symbol" w:hAnsi="Symbol"/>
      </w:rPr>
    </w:lvl>
    <w:lvl w:ilvl="7">
      <w:start w:val="1"/>
      <w:numFmt w:val="bullet"/>
      <w:isLgl w:val="false"/>
      <w:suff w:val="tab"/>
      <w:lvlText w:val="o"/>
      <w:lvlJc w:val="left"/>
      <w:pPr>
        <w:ind w:left="6300" w:hanging="360"/>
      </w:pPr>
      <w:rPr>
        <w:rFonts w:ascii="Courier New" w:hAnsi="Courier New"/>
      </w:rPr>
    </w:lvl>
    <w:lvl w:ilvl="8">
      <w:start w:val="1"/>
      <w:numFmt w:val="bullet"/>
      <w:isLgl w:val="false"/>
      <w:suff w:val="tab"/>
      <w:lvlText w:val=""/>
      <w:lvlJc w:val="left"/>
      <w:pPr>
        <w:ind w:left="7020" w:hanging="360"/>
      </w:pPr>
      <w:rPr>
        <w:rFonts w:ascii="Wingdings" w:hAnsi="Wingdings"/>
      </w:rPr>
    </w:lvl>
  </w:abstractNum>
  <w:abstractNum w:abstractNumId="43">
    <w:multiLevelType w:val="hybridMultilevel"/>
    <w:lvl w:ilvl="0">
      <w:start w:val="3"/>
      <w:numFmt w:val="decimal"/>
      <w:isLgl w:val="false"/>
      <w:suff w:val="tab"/>
      <w:lvlText w:val="%1"/>
      <w:lvlJc w:val="left"/>
      <w:pPr>
        <w:ind w:left="600" w:hanging="600"/>
      </w:pPr>
    </w:lvl>
    <w:lvl w:ilvl="1">
      <w:start w:val="3"/>
      <w:numFmt w:val="decimal"/>
      <w:isLgl w:val="false"/>
      <w:suff w:val="tab"/>
      <w:lvlText w:val="%2.4."/>
      <w:lvlJc w:val="left"/>
      <w:pPr>
        <w:ind w:left="954" w:hanging="600"/>
      </w:pPr>
    </w:lvl>
    <w:lvl w:ilvl="2">
      <w:start w:val="1"/>
      <w:numFmt w:val="decimal"/>
      <w:isLgl w:val="false"/>
      <w:suff w:val="tab"/>
      <w:lvlText w:val="4.3.%3."/>
      <w:lvlJc w:val="left"/>
      <w:pPr>
        <w:ind w:left="1428" w:hanging="720"/>
      </w:pPr>
      <w:rPr>
        <w:b w:val="0"/>
      </w:rPr>
    </w:lvl>
    <w:lvl w:ilvl="3">
      <w:start w:val="3"/>
      <w:numFmt w:val="decimal"/>
      <w:isLgl w:val="false"/>
      <w:suff w:val="tab"/>
      <w:lvlText w:val="3.3.11.%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564" w:hanging="144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44">
    <w:multiLevelType w:val="hybridMultilevel"/>
    <w:lvl w:ilvl="0">
      <w:start w:val="6"/>
      <w:numFmt w:val="decimal"/>
      <w:isLgl w:val="false"/>
      <w:suff w:val="tab"/>
      <w:lvlText w:val="%1."/>
      <w:lvlJc w:val="left"/>
      <w:pPr>
        <w:ind w:left="675" w:hanging="675"/>
      </w:pPr>
      <w:rPr>
        <w:b w:val="0"/>
      </w:rPr>
    </w:lvl>
    <w:lvl w:ilvl="1">
      <w:start w:val="7"/>
      <w:numFmt w:val="decimal"/>
      <w:isLgl w:val="false"/>
      <w:suff w:val="tab"/>
      <w:lvlText w:val="%1.%2."/>
      <w:lvlJc w:val="left"/>
      <w:pPr>
        <w:ind w:left="1080" w:hanging="720"/>
      </w:pPr>
      <w:rPr>
        <w:b w:val="0"/>
      </w:rPr>
    </w:lvl>
    <w:lvl w:ilvl="2">
      <w:start w:val="1"/>
      <w:numFmt w:val="decimal"/>
      <w:isLgl w:val="false"/>
      <w:suff w:val="tab"/>
      <w:lvlText w:val="6.7.%3."/>
      <w:lvlJc w:val="left"/>
      <w:pPr>
        <w:ind w:left="1440" w:hanging="720"/>
      </w:pPr>
      <w:rPr>
        <w:b w:val="0"/>
        <w:color w:val="000000"/>
      </w:rPr>
    </w:lvl>
    <w:lvl w:ilvl="3">
      <w:start w:val="1"/>
      <w:numFmt w:val="decimal"/>
      <w:isLgl w:val="false"/>
      <w:suff w:val="tab"/>
      <w:lvlText w:val="%1.%2.%3.%4."/>
      <w:lvlJc w:val="left"/>
      <w:pPr>
        <w:ind w:left="2160" w:hanging="1080"/>
      </w:pPr>
      <w:rPr>
        <w:b w:val="0"/>
      </w:rPr>
    </w:lvl>
    <w:lvl w:ilvl="4">
      <w:start w:val="1"/>
      <w:numFmt w:val="decimal"/>
      <w:isLgl w:val="false"/>
      <w:suff w:val="tab"/>
      <w:lvlText w:val="%1.%2.%3.%4.%5."/>
      <w:lvlJc w:val="left"/>
      <w:pPr>
        <w:ind w:left="2520" w:hanging="1080"/>
      </w:pPr>
      <w:rPr>
        <w:b w:val="0"/>
      </w:rPr>
    </w:lvl>
    <w:lvl w:ilvl="5">
      <w:start w:val="1"/>
      <w:numFmt w:val="decimal"/>
      <w:isLgl w:val="false"/>
      <w:suff w:val="tab"/>
      <w:lvlText w:val="%1.%2.%3.%4.%5.%6."/>
      <w:lvlJc w:val="left"/>
      <w:pPr>
        <w:ind w:left="3240" w:hanging="1440"/>
      </w:pPr>
      <w:rPr>
        <w:b w:val="0"/>
      </w:rPr>
    </w:lvl>
    <w:lvl w:ilvl="6">
      <w:start w:val="1"/>
      <w:numFmt w:val="decimal"/>
      <w:isLgl w:val="false"/>
      <w:suff w:val="tab"/>
      <w:lvlText w:val="%1.%2.%3.%4.%5.%6.%7."/>
      <w:lvlJc w:val="left"/>
      <w:pPr>
        <w:ind w:left="3960" w:hanging="1800"/>
      </w:pPr>
      <w:rPr>
        <w:b w:val="0"/>
      </w:rPr>
    </w:lvl>
    <w:lvl w:ilvl="7">
      <w:start w:val="1"/>
      <w:numFmt w:val="decimal"/>
      <w:isLgl w:val="false"/>
      <w:suff w:val="tab"/>
      <w:lvlText w:val="%1.%2.%3.%4.%5.%6.%7.%8."/>
      <w:lvlJc w:val="left"/>
      <w:pPr>
        <w:ind w:left="4320" w:hanging="1800"/>
      </w:pPr>
      <w:rPr>
        <w:b w:val="0"/>
      </w:rPr>
    </w:lvl>
    <w:lvl w:ilvl="8">
      <w:start w:val="1"/>
      <w:numFmt w:val="decimal"/>
      <w:isLgl w:val="false"/>
      <w:suff w:val="tab"/>
      <w:lvlText w:val="%1.%2.%3.%4.%5.%6.%7.%8.%9."/>
      <w:lvlJc w:val="left"/>
      <w:pPr>
        <w:ind w:left="5040" w:hanging="2160"/>
      </w:pPr>
      <w:rPr>
        <w:b w:val="0"/>
      </w:rPr>
    </w:lvl>
  </w:abstractNum>
  <w:abstractNum w:abstractNumId="45">
    <w:multiLevelType w:val="hybridMultilevel"/>
    <w:lvl w:ilvl="0">
      <w:start w:val="1"/>
      <w:numFmt w:val="decimal"/>
      <w:isLgl w:val="false"/>
      <w:suff w:val="tab"/>
      <w:lvlText w:val="6.1.15.%1."/>
      <w:lvlJc w:val="left"/>
      <w:pPr>
        <w:ind w:left="2138" w:hanging="360"/>
      </w:pPr>
    </w:lvl>
    <w:lvl w:ilvl="1">
      <w:start w:val="1"/>
      <w:numFmt w:val="decimal"/>
      <w:isLgl w:val="false"/>
      <w:suff w:val="tab"/>
      <w:lvlText w:val="7.1.14.%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6">
    <w:multiLevelType w:val="hybridMultilevel"/>
    <w:lvl w:ilvl="0">
      <w:start w:val="15"/>
      <w:numFmt w:val="decimal"/>
      <w:isLgl w:val="false"/>
      <w:suff w:val="tab"/>
      <w:lvlText w:val="%1."/>
      <w:lvlJc w:val="left"/>
      <w:pPr>
        <w:ind w:left="600" w:hanging="600"/>
      </w:pPr>
      <w:rPr>
        <w:b/>
      </w:rPr>
    </w:lvl>
    <w:lvl w:ilvl="1">
      <w:start w:val="4"/>
      <w:numFmt w:val="decimal"/>
      <w:isLgl w:val="false"/>
      <w:suff w:val="tab"/>
      <w:lvlText w:val="16.%2."/>
      <w:lvlJc w:val="left"/>
      <w:pPr>
        <w:ind w:left="1429" w:hanging="720"/>
      </w:pPr>
      <w:rPr>
        <w:b/>
      </w:rPr>
    </w:lvl>
    <w:lvl w:ilvl="2">
      <w:start w:val="1"/>
      <w:numFmt w:val="decimal"/>
      <w:isLgl w:val="false"/>
      <w:suff w:val="tab"/>
      <w:lvlText w:val="16.4.%3."/>
      <w:lvlJc w:val="left"/>
      <w:pPr>
        <w:ind w:left="1713" w:hanging="720"/>
      </w:pPr>
      <w:rPr>
        <w:b w:val="0"/>
        <w:color w:val="000000"/>
        <w:sz w:val="28"/>
        <w:szCs w:val="28"/>
      </w:rPr>
    </w:lvl>
    <w:lvl w:ilvl="3">
      <w:start w:val="1"/>
      <w:numFmt w:val="thaiNumbers"/>
      <w:isLgl w:val="false"/>
      <w:suff w:val="tab"/>
      <w:lvlText w:val="%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47">
    <w:multiLevelType w:val="hybridMultilevel"/>
    <w:lvl w:ilvl="0">
      <w:start w:val="5"/>
      <w:numFmt w:val="decimal"/>
      <w:isLgl w:val="false"/>
      <w:suff w:val="tab"/>
      <w:lvlText w:val="%1."/>
      <w:lvlJc w:val="left"/>
      <w:pPr>
        <w:ind w:left="375" w:hanging="375"/>
      </w:pPr>
      <w:rPr>
        <w:sz w:val="24"/>
        <w:szCs w:val="24"/>
      </w:rPr>
    </w:lvl>
    <w:lvl w:ilvl="1">
      <w:start w:val="10"/>
      <w:numFmt w:val="decimal"/>
      <w:isLgl w:val="false"/>
      <w:suff w:val="tab"/>
      <w:lvlText w:val="%1.%2"/>
      <w:lvlJc w:val="left"/>
      <w:pPr>
        <w:ind w:left="1084" w:hanging="375"/>
      </w:pPr>
    </w:lvl>
    <w:lvl w:ilvl="2">
      <w:start w:val="1"/>
      <w:numFmt w:val="decimal"/>
      <w:isLgl w:val="false"/>
      <w:suff w:val="space"/>
      <w:lvlText w:val="6.10.28.%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48">
    <w:multiLevelType w:val="hybridMultilevel"/>
    <w:lvl w:ilvl="0">
      <w:start w:val="6"/>
      <w:numFmt w:val="decimal"/>
      <w:isLgl w:val="false"/>
      <w:suff w:val="tab"/>
      <w:lvlText w:val="%1."/>
      <w:lvlJc w:val="left"/>
      <w:pPr>
        <w:ind w:left="450" w:hanging="450"/>
      </w:pPr>
    </w:lvl>
    <w:lvl w:ilvl="1">
      <w:start w:val="1"/>
      <w:numFmt w:val="decimal"/>
      <w:isLgl w:val="false"/>
      <w:suff w:val="tab"/>
      <w:lvlText w:val="7.%2."/>
      <w:lvlJc w:val="left"/>
      <w:pPr>
        <w:ind w:left="1428" w:hanging="720"/>
      </w:pPr>
    </w:lvl>
    <w:lvl w:ilvl="2">
      <w:start w:val="1"/>
      <w:numFmt w:val="decimal"/>
      <w:isLgl w:val="false"/>
      <w:suff w:val="tab"/>
      <w:lvlText w:val="%1.%2.%3."/>
      <w:lvlJc w:val="left"/>
      <w:pPr>
        <w:ind w:left="2136" w:hanging="720"/>
      </w:pPr>
    </w:lvl>
    <w:lvl w:ilvl="3">
      <w:start w:val="1"/>
      <w:numFmt w:val="decimal"/>
      <w:isLgl w:val="false"/>
      <w:suff w:val="tab"/>
      <w:lvlText w:val="%1.%2.%3.%4."/>
      <w:lvlJc w:val="left"/>
      <w:pPr>
        <w:ind w:left="3204" w:hanging="1080"/>
      </w:pPr>
    </w:lvl>
    <w:lvl w:ilvl="4">
      <w:start w:val="1"/>
      <w:numFmt w:val="decimal"/>
      <w:isLgl w:val="false"/>
      <w:suff w:val="tab"/>
      <w:lvlText w:val="%1.%2.%3.%4.%5."/>
      <w:lvlJc w:val="left"/>
      <w:pPr>
        <w:ind w:left="3912" w:hanging="1080"/>
      </w:pPr>
    </w:lvl>
    <w:lvl w:ilvl="5">
      <w:start w:val="1"/>
      <w:numFmt w:val="decimal"/>
      <w:isLgl w:val="false"/>
      <w:suff w:val="tab"/>
      <w:lvlText w:val="%1.%2.%3.%4.%5.%6."/>
      <w:lvlJc w:val="left"/>
      <w:pPr>
        <w:ind w:left="4980" w:hanging="1440"/>
      </w:pPr>
    </w:lvl>
    <w:lvl w:ilvl="6">
      <w:start w:val="1"/>
      <w:numFmt w:val="decimal"/>
      <w:isLgl w:val="false"/>
      <w:suff w:val="tab"/>
      <w:lvlText w:val="%1.%2.%3.%4.%5.%6.%7."/>
      <w:lvlJc w:val="left"/>
      <w:pPr>
        <w:ind w:left="6048" w:hanging="1800"/>
      </w:pPr>
    </w:lvl>
    <w:lvl w:ilvl="7">
      <w:start w:val="1"/>
      <w:numFmt w:val="decimal"/>
      <w:isLgl w:val="false"/>
      <w:suff w:val="tab"/>
      <w:lvlText w:val="%1.%2.%3.%4.%5.%6.%7.%8."/>
      <w:lvlJc w:val="left"/>
      <w:pPr>
        <w:ind w:left="6756" w:hanging="1800"/>
      </w:pPr>
    </w:lvl>
    <w:lvl w:ilvl="8">
      <w:start w:val="1"/>
      <w:numFmt w:val="decimal"/>
      <w:isLgl w:val="false"/>
      <w:suff w:val="tab"/>
      <w:lvlText w:val="%1.%2.%3.%4.%5.%6.%7.%8.%9."/>
      <w:lvlJc w:val="left"/>
      <w:pPr>
        <w:ind w:left="7824" w:hanging="2160"/>
      </w:pPr>
    </w:lvl>
  </w:abstractNum>
  <w:abstractNum w:abstractNumId="49">
    <w:multiLevelType w:val="hybridMultilevel"/>
    <w:lvl w:ilvl="0">
      <w:start w:val="1"/>
      <w:numFmt w:val="decimal"/>
      <w:isLgl w:val="false"/>
      <w:suff w:val="tab"/>
      <w:lvlText w:val="15.2.%1."/>
      <w:lvlJc w:val="left"/>
      <w:pPr>
        <w:ind w:left="214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0">
    <w:multiLevelType w:val="hybridMultilevel"/>
    <w:lvl w:ilvl="0">
      <w:start w:val="6"/>
      <w:numFmt w:val="decimal"/>
      <w:isLgl w:val="false"/>
      <w:suff w:val="tab"/>
      <w:lvlText w:val="%1."/>
      <w:lvlJc w:val="left"/>
      <w:pPr>
        <w:ind w:left="675" w:hanging="675"/>
      </w:pPr>
    </w:lvl>
    <w:lvl w:ilvl="1">
      <w:start w:val="8"/>
      <w:numFmt w:val="decimal"/>
      <w:isLgl w:val="false"/>
      <w:suff w:val="tab"/>
      <w:lvlText w:val="%1.%2."/>
      <w:lvlJc w:val="left"/>
      <w:pPr>
        <w:ind w:left="1074" w:hanging="720"/>
      </w:pPr>
    </w:lvl>
    <w:lvl w:ilvl="2">
      <w:start w:val="6"/>
      <w:numFmt w:val="decimal"/>
      <w:isLgl w:val="false"/>
      <w:suff w:val="tab"/>
      <w:lvlText w:val="%3.8.17.1"/>
      <w:lvlJc w:val="left"/>
      <w:pPr>
        <w:ind w:left="1428" w:hanging="720"/>
      </w:pPr>
      <w:rPr>
        <w:b w:val="0"/>
        <w:strike w:val="0"/>
        <w:color w:val="00000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51">
    <w:multiLevelType w:val="hybridMultilevel"/>
    <w:lvl w:ilvl="0">
      <w:start w:val="1"/>
      <w:numFmt w:val="decimal"/>
      <w:isLgl w:val="false"/>
      <w:suff w:val="tab"/>
      <w:lvlText w:val="16.%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2">
    <w:multiLevelType w:val="hybridMultilevel"/>
    <w:lvl w:ilvl="0">
      <w:start w:val="2"/>
      <w:numFmt w:val="decimal"/>
      <w:isLgl w:val="false"/>
      <w:suff w:val="tab"/>
      <w:lvlText w:val="4.4.%1."/>
      <w:lvlJc w:val="left"/>
      <w:pPr>
        <w:ind w:left="1429" w:hanging="360"/>
      </w:pPr>
      <w:rPr>
        <w:b w:val="0"/>
        <w:strike w:val="0"/>
        <w:color w:val="00000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3">
    <w:multiLevelType w:val="hybridMultilevel"/>
    <w:lvl w:ilvl="0">
      <w:start w:val="11"/>
      <w:numFmt w:val="decimal"/>
      <w:isLgl w:val="false"/>
      <w:suff w:val="tab"/>
      <w:lvlText w:val="%1."/>
      <w:lvlJc w:val="left"/>
      <w:pPr>
        <w:ind w:left="825" w:hanging="825"/>
      </w:pPr>
    </w:lvl>
    <w:lvl w:ilvl="1">
      <w:start w:val="3"/>
      <w:numFmt w:val="decimal"/>
      <w:isLgl w:val="false"/>
      <w:suff w:val="tab"/>
      <w:lvlText w:val="12.%2."/>
      <w:lvlJc w:val="left"/>
      <w:pPr>
        <w:ind w:left="1179" w:hanging="825"/>
      </w:pPr>
      <w:rPr>
        <w:b/>
        <w:sz w:val="28"/>
        <w:szCs w:val="28"/>
      </w:rPr>
    </w:lvl>
    <w:lvl w:ilvl="2">
      <w:start w:val="11"/>
      <w:numFmt w:val="decimal"/>
      <w:isLgl w:val="false"/>
      <w:suff w:val="tab"/>
      <w:lvlText w:val="12.3.%3."/>
      <w:lvlJc w:val="left"/>
      <w:pPr>
        <w:ind w:left="1533" w:hanging="825"/>
      </w:pPr>
      <w:rPr>
        <w:b w:val="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54">
    <w:multiLevelType w:val="hybridMultilevel"/>
    <w:lvl w:ilvl="0">
      <w:start w:val="6"/>
      <w:numFmt w:val="decimal"/>
      <w:isLgl w:val="false"/>
      <w:suff w:val="tab"/>
      <w:lvlText w:val="%1."/>
      <w:lvlJc w:val="left"/>
      <w:pPr>
        <w:ind w:left="675" w:hanging="675"/>
      </w:pPr>
    </w:lvl>
    <w:lvl w:ilvl="1">
      <w:start w:val="9"/>
      <w:numFmt w:val="decimal"/>
      <w:isLgl w:val="false"/>
      <w:suff w:val="tab"/>
      <w:lvlText w:val="%1.%2."/>
      <w:lvlJc w:val="left"/>
      <w:pPr>
        <w:ind w:left="1074" w:hanging="720"/>
      </w:pPr>
    </w:lvl>
    <w:lvl w:ilvl="2">
      <w:start w:val="1"/>
      <w:numFmt w:val="decimal"/>
      <w:isLgl w:val="false"/>
      <w:suff w:val="tab"/>
      <w:lvlText w:val="6.9.%3."/>
      <w:lvlJc w:val="left"/>
      <w:pPr>
        <w:ind w:left="1571" w:hanging="720"/>
      </w:pPr>
      <w:rPr>
        <w:b w:val="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55">
    <w:multiLevelType w:val="hybridMultilevel"/>
    <w:lvl w:ilvl="0">
      <w:start w:val="1"/>
      <w:numFmt w:val="decimal"/>
      <w:isLgl w:val="false"/>
      <w:suff w:val="tab"/>
      <w:lvlText w:val="16.2.%1."/>
      <w:lvlJc w:val="left"/>
      <w:pPr>
        <w:ind w:left="360" w:hanging="360"/>
      </w:pPr>
      <w:rPr>
        <w:rFonts w:ascii="Times New Roman" w:hAnsi="Times New Roman" w:cs="Times New Roman"/>
        <w:b w:val="0"/>
        <w:sz w:val="28"/>
        <w:szCs w:val="28"/>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6">
    <w:multiLevelType w:val="hybridMultilevel"/>
    <w:lvl w:ilvl="0">
      <w:start w:val="1"/>
      <w:numFmt w:val="decimal"/>
      <w:isLgl w:val="false"/>
      <w:suff w:val="tab"/>
      <w:lvlText w:val="13.1.13.%1."/>
      <w:lvlJc w:val="left"/>
      <w:pPr>
        <w:ind w:left="2138" w:hanging="360"/>
      </w:pPr>
    </w:lvl>
    <w:lvl w:ilvl="1">
      <w:start w:val="1"/>
      <w:numFmt w:val="decimal"/>
      <w:isLgl w:val="false"/>
      <w:suff w:val="tab"/>
      <w:lvlText w:val="13.1.13.%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7">
    <w:multiLevelType w:val="hybridMultilevel"/>
    <w:lvl w:ilvl="0">
      <w:start w:val="9"/>
      <w:numFmt w:val="decimal"/>
      <w:isLgl w:val="false"/>
      <w:suff w:val="tab"/>
      <w:lvlText w:val="6.%1."/>
      <w:lvlJc w:val="left"/>
      <w:pPr>
        <w:ind w:left="1429" w:hanging="360"/>
      </w:pPr>
      <w:rPr>
        <w:rFonts w:ascii="Times New Roman" w:hAnsi="Times New Roman" w:cs="Times New Roman"/>
        <w:b/>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8">
    <w:multiLevelType w:val="hybridMultilevel"/>
    <w:lvl w:ilvl="0">
      <w:start w:val="1"/>
      <w:numFmt w:val="decimal"/>
      <w:isLgl w:val="false"/>
      <w:suff w:val="tab"/>
      <w:lvlText w:val="10.16.%1."/>
      <w:lvlJc w:val="left"/>
      <w:pPr>
        <w:ind w:left="2138" w:hanging="360"/>
      </w:pPr>
    </w:lvl>
    <w:lvl w:ilvl="1">
      <w:start w:val="1"/>
      <w:numFmt w:val="decimal"/>
      <w:isLgl w:val="false"/>
      <w:suff w:val="tab"/>
      <w:lvlText w:val="11.16.%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9">
    <w:multiLevelType w:val="hybridMultilevel"/>
    <w:lvl w:ilvl="0">
      <w:start w:val="1"/>
      <w:numFmt w:val="decimal"/>
      <w:isLgl w:val="false"/>
      <w:suff w:val="tab"/>
      <w:lvlText w:val="12.%1."/>
      <w:lvlJc w:val="left"/>
      <w:pPr>
        <w:ind w:left="2422"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0">
    <w:multiLevelType w:val="hybridMultilevel"/>
    <w:lvl w:ilvl="0">
      <w:start w:val="5"/>
      <w:numFmt w:val="decimal"/>
      <w:isLgl w:val="false"/>
      <w:suff w:val="tab"/>
      <w:lvlText w:val="%1."/>
      <w:lvlJc w:val="left"/>
      <w:pPr>
        <w:ind w:left="675" w:hanging="675"/>
      </w:pPr>
    </w:lvl>
    <w:lvl w:ilvl="1">
      <w:start w:val="3"/>
      <w:numFmt w:val="decimal"/>
      <w:isLgl w:val="false"/>
      <w:suff w:val="tab"/>
      <w:lvlText w:val="6.%2."/>
      <w:lvlJc w:val="left"/>
      <w:pPr>
        <w:ind w:left="1074" w:hanging="720"/>
      </w:pPr>
      <w:rPr>
        <w:b/>
      </w:rPr>
    </w:lvl>
    <w:lvl w:ilvl="2">
      <w:start w:val="1"/>
      <w:numFmt w:val="decimal"/>
      <w:isLgl w:val="false"/>
      <w:suff w:val="tab"/>
      <w:lvlText w:val="6.3.%3."/>
      <w:lvlJc w:val="left"/>
      <w:pPr>
        <w:ind w:left="1571" w:hanging="720"/>
      </w:pPr>
      <w:rPr>
        <w:b w:val="0"/>
        <w:color w:val="000000"/>
        <w:sz w:val="28"/>
        <w:szCs w:val="28"/>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61">
    <w:multiLevelType w:val="hybridMultilevel"/>
    <w:lvl w:ilvl="0">
      <w:start w:val="3"/>
      <w:numFmt w:val="decimal"/>
      <w:isLgl w:val="false"/>
      <w:suff w:val="tab"/>
      <w:lvlText w:val="%1."/>
      <w:lvlJc w:val="left"/>
      <w:pPr>
        <w:ind w:left="900" w:hanging="900"/>
      </w:pPr>
    </w:lvl>
    <w:lvl w:ilvl="1">
      <w:start w:val="4"/>
      <w:numFmt w:val="decimal"/>
      <w:isLgl w:val="false"/>
      <w:suff w:val="tab"/>
      <w:lvlText w:val="4.%2."/>
      <w:lvlJc w:val="left"/>
      <w:pPr>
        <w:ind w:left="1256" w:hanging="900"/>
      </w:pPr>
    </w:lvl>
    <w:lvl w:ilvl="2">
      <w:start w:val="3"/>
      <w:numFmt w:val="decimal"/>
      <w:isLgl w:val="false"/>
      <w:suff w:val="tab"/>
      <w:lvlText w:val="4.4.%3."/>
      <w:lvlJc w:val="left"/>
      <w:pPr>
        <w:ind w:left="1612" w:hanging="900"/>
      </w:pPr>
      <w:rPr>
        <w:b w:val="0"/>
        <w:strike w:val="0"/>
        <w:color w:val="000000"/>
        <w:sz w:val="24"/>
      </w:rPr>
    </w:lvl>
    <w:lvl w:ilvl="3">
      <w:start w:val="1"/>
      <w:numFmt w:val="decimal"/>
      <w:isLgl w:val="false"/>
      <w:suff w:val="tab"/>
      <w:lvlText w:val="%1.%2.%3.%4."/>
      <w:lvlJc w:val="left"/>
      <w:pPr>
        <w:ind w:left="8169" w:hanging="1080"/>
      </w:p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62">
    <w:multiLevelType w:val="hybridMultilevel"/>
    <w:lvl w:ilvl="0">
      <w:start w:val="1"/>
      <w:numFmt w:val="decimal"/>
      <w:isLgl w:val="false"/>
      <w:suff w:val="tab"/>
      <w:lvlText w:val="4.4.2.%1."/>
      <w:lvlJc w:val="left"/>
      <w:pPr>
        <w:ind w:left="928" w:hanging="360"/>
      </w:pPr>
    </w:lvl>
    <w:lvl w:ilvl="1">
      <w:start w:val="1"/>
      <w:numFmt w:val="lowerLetter"/>
      <w:isLgl w:val="false"/>
      <w:suff w:val="tab"/>
      <w:lvlText w:val="%2."/>
      <w:lvlJc w:val="left"/>
      <w:pPr>
        <w:ind w:left="939" w:hanging="360"/>
      </w:pPr>
    </w:lvl>
    <w:lvl w:ilvl="2">
      <w:start w:val="1"/>
      <w:numFmt w:val="lowerRoman"/>
      <w:isLgl w:val="false"/>
      <w:suff w:val="tab"/>
      <w:lvlText w:val="%3."/>
      <w:lvlJc w:val="right"/>
      <w:pPr>
        <w:ind w:left="1659" w:hanging="180"/>
      </w:pPr>
    </w:lvl>
    <w:lvl w:ilvl="3">
      <w:start w:val="1"/>
      <w:numFmt w:val="decimal"/>
      <w:isLgl w:val="false"/>
      <w:suff w:val="tab"/>
      <w:lvlText w:val="%4."/>
      <w:lvlJc w:val="left"/>
      <w:pPr>
        <w:ind w:left="2379" w:hanging="360"/>
      </w:pPr>
    </w:lvl>
    <w:lvl w:ilvl="4">
      <w:start w:val="1"/>
      <w:numFmt w:val="lowerLetter"/>
      <w:isLgl w:val="false"/>
      <w:suff w:val="tab"/>
      <w:lvlText w:val="%5."/>
      <w:lvlJc w:val="left"/>
      <w:pPr>
        <w:ind w:left="3099" w:hanging="360"/>
      </w:pPr>
    </w:lvl>
    <w:lvl w:ilvl="5">
      <w:start w:val="1"/>
      <w:numFmt w:val="lowerRoman"/>
      <w:isLgl w:val="false"/>
      <w:suff w:val="tab"/>
      <w:lvlText w:val="%6."/>
      <w:lvlJc w:val="right"/>
      <w:pPr>
        <w:ind w:left="3819" w:hanging="180"/>
      </w:pPr>
    </w:lvl>
    <w:lvl w:ilvl="6">
      <w:start w:val="1"/>
      <w:numFmt w:val="decimal"/>
      <w:isLgl w:val="false"/>
      <w:suff w:val="tab"/>
      <w:lvlText w:val="%7."/>
      <w:lvlJc w:val="left"/>
      <w:pPr>
        <w:ind w:left="4539" w:hanging="360"/>
      </w:pPr>
    </w:lvl>
    <w:lvl w:ilvl="7">
      <w:start w:val="1"/>
      <w:numFmt w:val="lowerLetter"/>
      <w:isLgl w:val="false"/>
      <w:suff w:val="tab"/>
      <w:lvlText w:val="%8."/>
      <w:lvlJc w:val="left"/>
      <w:pPr>
        <w:ind w:left="5259" w:hanging="360"/>
      </w:pPr>
    </w:lvl>
    <w:lvl w:ilvl="8">
      <w:start w:val="1"/>
      <w:numFmt w:val="lowerRoman"/>
      <w:isLgl w:val="false"/>
      <w:suff w:val="tab"/>
      <w:lvlText w:val="%9."/>
      <w:lvlJc w:val="right"/>
      <w:pPr>
        <w:ind w:left="5979" w:hanging="180"/>
      </w:pPr>
    </w:lvl>
  </w:abstractNum>
  <w:abstractNum w:abstractNumId="63">
    <w:multiLevelType w:val="hybridMultilevel"/>
    <w:lvl w:ilvl="0">
      <w:start w:val="11"/>
      <w:numFmt w:val="decimal"/>
      <w:isLgl w:val="false"/>
      <w:suff w:val="tab"/>
      <w:lvlText w:val="%1."/>
      <w:lvlJc w:val="left"/>
      <w:pPr>
        <w:ind w:left="825" w:hanging="825"/>
      </w:pPr>
    </w:lvl>
    <w:lvl w:ilvl="1">
      <w:start w:val="1"/>
      <w:numFmt w:val="decimal"/>
      <w:isLgl w:val="false"/>
      <w:suff w:val="tab"/>
      <w:lvlText w:val="%1.%2."/>
      <w:lvlJc w:val="left"/>
      <w:pPr>
        <w:ind w:left="1179" w:hanging="825"/>
      </w:pPr>
      <w:rPr>
        <w:b/>
        <w:sz w:val="24"/>
        <w:szCs w:val="24"/>
      </w:rPr>
    </w:lvl>
    <w:lvl w:ilvl="2">
      <w:start w:val="1"/>
      <w:numFmt w:val="decimal"/>
      <w:isLgl w:val="false"/>
      <w:suff w:val="tab"/>
      <w:lvlText w:val="12.2.%3."/>
      <w:lvlJc w:val="left"/>
      <w:pPr>
        <w:ind w:left="1533" w:hanging="825"/>
      </w:pPr>
      <w:rPr>
        <w:b w:val="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64">
    <w:multiLevelType w:val="hybridMultilevel"/>
    <w:lvl w:ilvl="0">
      <w:start w:val="12"/>
      <w:numFmt w:val="decimal"/>
      <w:isLgl w:val="false"/>
      <w:suff w:val="tab"/>
      <w:lvlText w:val="%1."/>
      <w:lvlJc w:val="left"/>
      <w:pPr>
        <w:ind w:left="1050" w:hanging="1050"/>
      </w:pPr>
      <w:rPr>
        <w:rFonts w:eastAsia="Arial Unicode MS"/>
        <w:color w:val="000000"/>
      </w:rPr>
    </w:lvl>
    <w:lvl w:ilvl="1">
      <w:start w:val="3"/>
      <w:numFmt w:val="decimal"/>
      <w:isLgl w:val="false"/>
      <w:suff w:val="tab"/>
      <w:lvlText w:val="%1.%2."/>
      <w:lvlJc w:val="left"/>
      <w:pPr>
        <w:ind w:left="1286" w:hanging="1050"/>
      </w:pPr>
      <w:rPr>
        <w:rFonts w:eastAsia="Arial Unicode MS"/>
        <w:color w:val="000000"/>
      </w:rPr>
    </w:lvl>
    <w:lvl w:ilvl="2">
      <w:start w:val="8"/>
      <w:numFmt w:val="decimal"/>
      <w:isLgl w:val="false"/>
      <w:suff w:val="tab"/>
      <w:lvlText w:val="%1.%2.%3."/>
      <w:lvlJc w:val="left"/>
      <w:pPr>
        <w:ind w:left="1522" w:hanging="1050"/>
      </w:pPr>
      <w:rPr>
        <w:rFonts w:eastAsia="Arial Unicode MS"/>
        <w:color w:val="000000"/>
      </w:rPr>
    </w:lvl>
    <w:lvl w:ilvl="3">
      <w:start w:val="2"/>
      <w:numFmt w:val="decimal"/>
      <w:isLgl w:val="false"/>
      <w:suff w:val="tab"/>
      <w:lvlText w:val="%1.%2.%3.%4."/>
      <w:lvlJc w:val="left"/>
      <w:pPr>
        <w:ind w:left="1788" w:hanging="1080"/>
      </w:pPr>
      <w:rPr>
        <w:rFonts w:eastAsia="Arial Unicode MS"/>
        <w:color w:val="000000"/>
      </w:rPr>
    </w:lvl>
    <w:lvl w:ilvl="4">
      <w:start w:val="1"/>
      <w:numFmt w:val="decimal"/>
      <w:isLgl w:val="false"/>
      <w:suff w:val="tab"/>
      <w:lvlText w:val="%1.%2.%3.%4.%5."/>
      <w:lvlJc w:val="left"/>
      <w:pPr>
        <w:ind w:left="2024" w:hanging="1080"/>
      </w:pPr>
      <w:rPr>
        <w:rFonts w:eastAsia="Arial Unicode MS"/>
        <w:color w:val="000000"/>
      </w:rPr>
    </w:lvl>
    <w:lvl w:ilvl="5">
      <w:start w:val="1"/>
      <w:numFmt w:val="decimal"/>
      <w:isLgl w:val="false"/>
      <w:suff w:val="tab"/>
      <w:lvlText w:val="%1.%2.%3.%4.%5.%6."/>
      <w:lvlJc w:val="left"/>
      <w:pPr>
        <w:ind w:left="2620" w:hanging="1440"/>
      </w:pPr>
      <w:rPr>
        <w:rFonts w:eastAsia="Arial Unicode MS"/>
        <w:color w:val="000000"/>
      </w:rPr>
    </w:lvl>
    <w:lvl w:ilvl="6">
      <w:start w:val="1"/>
      <w:numFmt w:val="decimal"/>
      <w:isLgl w:val="false"/>
      <w:suff w:val="tab"/>
      <w:lvlText w:val="%1.%2.%3.%4.%5.%6.%7."/>
      <w:lvlJc w:val="left"/>
      <w:pPr>
        <w:ind w:left="3216" w:hanging="1800"/>
      </w:pPr>
      <w:rPr>
        <w:rFonts w:eastAsia="Arial Unicode MS"/>
        <w:color w:val="000000"/>
      </w:rPr>
    </w:lvl>
    <w:lvl w:ilvl="7">
      <w:start w:val="1"/>
      <w:numFmt w:val="decimal"/>
      <w:isLgl w:val="false"/>
      <w:suff w:val="tab"/>
      <w:lvlText w:val="%1.%2.%3.%4.%5.%6.%7.%8."/>
      <w:lvlJc w:val="left"/>
      <w:pPr>
        <w:ind w:left="3452" w:hanging="1800"/>
      </w:pPr>
      <w:rPr>
        <w:rFonts w:eastAsia="Arial Unicode MS"/>
        <w:color w:val="000000"/>
      </w:rPr>
    </w:lvl>
    <w:lvl w:ilvl="8">
      <w:start w:val="1"/>
      <w:numFmt w:val="decimal"/>
      <w:isLgl w:val="false"/>
      <w:suff w:val="tab"/>
      <w:lvlText w:val="%1.%2.%3.%4.%5.%6.%7.%8.%9."/>
      <w:lvlJc w:val="left"/>
      <w:pPr>
        <w:ind w:left="4048" w:hanging="2160"/>
      </w:pPr>
      <w:rPr>
        <w:rFonts w:eastAsia="Arial Unicode MS"/>
        <w:color w:val="000000"/>
      </w:rPr>
    </w:lvl>
  </w:abstractNum>
  <w:abstractNum w:abstractNumId="65">
    <w:multiLevelType w:val="hybridMultilevel"/>
    <w:lvl w:ilvl="0">
      <w:start w:val="1"/>
      <w:numFmt w:val="decimal"/>
      <w:isLgl w:val="false"/>
      <w:suff w:val="tab"/>
      <w:lvlText w:val="9.3.%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6">
    <w:multiLevelType w:val="hybridMultilevel"/>
    <w:lvl w:ilvl="0">
      <w:start w:val="1"/>
      <w:numFmt w:val="decimal"/>
      <w:isLgl w:val="false"/>
      <w:suff w:val="tab"/>
      <w:lvlText w:val="6.6.%1."/>
      <w:lvlJc w:val="left"/>
      <w:pPr>
        <w:ind w:left="142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7">
    <w:multiLevelType w:val="hybridMultilevel"/>
    <w:lvl w:ilvl="0">
      <w:start w:val="1"/>
      <w:numFmt w:val="decimal"/>
      <w:isLgl w:val="false"/>
      <w:suff w:val="tab"/>
      <w:lvlText w:val="6.1.10.%1."/>
      <w:lvlJc w:val="left"/>
      <w:pPr>
        <w:ind w:left="142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8">
    <w:multiLevelType w:val="hybridMultilevel"/>
    <w:lvl w:ilvl="0">
      <w:start w:val="5"/>
      <w:numFmt w:val="decimal"/>
      <w:isLgl w:val="false"/>
      <w:suff w:val="tab"/>
      <w:lvlText w:val="%1."/>
      <w:lvlJc w:val="left"/>
      <w:pPr>
        <w:ind w:left="675" w:hanging="675"/>
      </w:pPr>
    </w:lvl>
    <w:lvl w:ilvl="1">
      <w:start w:val="3"/>
      <w:numFmt w:val="decimal"/>
      <w:isLgl w:val="false"/>
      <w:suff w:val="tab"/>
      <w:lvlText w:val="6.%2."/>
      <w:lvlJc w:val="left"/>
      <w:pPr>
        <w:ind w:left="1074" w:hanging="720"/>
      </w:pPr>
      <w:rPr>
        <w:b/>
      </w:rPr>
    </w:lvl>
    <w:lvl w:ilvl="2">
      <w:start w:val="5"/>
      <w:numFmt w:val="decimal"/>
      <w:isLgl w:val="false"/>
      <w:suff w:val="tab"/>
      <w:lvlText w:val="6.3.%3."/>
      <w:lvlJc w:val="left"/>
      <w:pPr>
        <w:ind w:left="1428" w:hanging="720"/>
      </w:pPr>
      <w:rPr>
        <w:b w:val="0"/>
        <w:color w:val="000000"/>
        <w:sz w:val="24"/>
        <w:szCs w:val="24"/>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69">
    <w:multiLevelType w:val="hybridMultilevel"/>
    <w:lvl w:ilvl="0">
      <w:start w:val="7"/>
      <w:numFmt w:val="decimal"/>
      <w:isLgl w:val="false"/>
      <w:suff w:val="tab"/>
      <w:lvlText w:val="%1."/>
      <w:lvlJc w:val="left"/>
      <w:pPr>
        <w:ind w:left="450" w:hanging="450"/>
      </w:pPr>
      <w:rPr>
        <w:b/>
      </w:rPr>
    </w:lvl>
    <w:lvl w:ilvl="1">
      <w:start w:val="1"/>
      <w:numFmt w:val="decimal"/>
      <w:isLgl w:val="false"/>
      <w:suff w:val="tab"/>
      <w:lvlText w:val="8.%2."/>
      <w:lvlJc w:val="left"/>
      <w:pPr>
        <w:ind w:left="1430" w:hanging="720"/>
      </w:pPr>
    </w:lvl>
    <w:lvl w:ilvl="2">
      <w:start w:val="1"/>
      <w:numFmt w:val="decimal"/>
      <w:isLgl w:val="false"/>
      <w:suff w:val="tab"/>
      <w:lvlText w:val="%1.%2.%3."/>
      <w:lvlJc w:val="left"/>
      <w:pPr>
        <w:ind w:left="2422" w:hanging="720"/>
      </w:pPr>
    </w:lvl>
    <w:lvl w:ilvl="3">
      <w:start w:val="1"/>
      <w:numFmt w:val="decimal"/>
      <w:isLgl w:val="false"/>
      <w:suff w:val="tab"/>
      <w:lvlText w:val="%1.%2.%3.%4."/>
      <w:lvlJc w:val="left"/>
      <w:pPr>
        <w:ind w:left="3633" w:hanging="1080"/>
      </w:pPr>
    </w:lvl>
    <w:lvl w:ilvl="4">
      <w:start w:val="1"/>
      <w:numFmt w:val="decimal"/>
      <w:isLgl w:val="false"/>
      <w:suff w:val="tab"/>
      <w:lvlText w:val="%1.%2.%3.%4.%5."/>
      <w:lvlJc w:val="left"/>
      <w:pPr>
        <w:ind w:left="4484" w:hanging="1080"/>
      </w:pPr>
    </w:lvl>
    <w:lvl w:ilvl="5">
      <w:start w:val="1"/>
      <w:numFmt w:val="decimal"/>
      <w:isLgl w:val="false"/>
      <w:suff w:val="tab"/>
      <w:lvlText w:val="%1.%2.%3.%4.%5.%6."/>
      <w:lvlJc w:val="left"/>
      <w:pPr>
        <w:ind w:left="5695" w:hanging="1440"/>
      </w:pPr>
    </w:lvl>
    <w:lvl w:ilvl="6">
      <w:start w:val="1"/>
      <w:numFmt w:val="decimal"/>
      <w:isLgl w:val="false"/>
      <w:suff w:val="tab"/>
      <w:lvlText w:val="%1.%2.%3.%4.%5.%6.%7."/>
      <w:lvlJc w:val="left"/>
      <w:pPr>
        <w:ind w:left="6906" w:hanging="1800"/>
      </w:pPr>
    </w:lvl>
    <w:lvl w:ilvl="7">
      <w:start w:val="1"/>
      <w:numFmt w:val="decimal"/>
      <w:isLgl w:val="false"/>
      <w:suff w:val="tab"/>
      <w:lvlText w:val="%1.%2.%3.%4.%5.%6.%7.%8."/>
      <w:lvlJc w:val="left"/>
      <w:pPr>
        <w:ind w:left="7757" w:hanging="1800"/>
      </w:pPr>
    </w:lvl>
    <w:lvl w:ilvl="8">
      <w:start w:val="1"/>
      <w:numFmt w:val="decimal"/>
      <w:isLgl w:val="false"/>
      <w:suff w:val="tab"/>
      <w:lvlText w:val="%1.%2.%3.%4.%5.%6.%7.%8.%9."/>
      <w:lvlJc w:val="left"/>
      <w:pPr>
        <w:ind w:left="8968" w:hanging="2160"/>
      </w:pPr>
    </w:lvl>
  </w:abstractNum>
  <w:abstractNum w:abstractNumId="70">
    <w:multiLevelType w:val="hybridMultilevel"/>
    <w:lvl w:ilvl="0">
      <w:start w:val="5"/>
      <w:numFmt w:val="decimal"/>
      <w:isLgl w:val="false"/>
      <w:suff w:val="tab"/>
      <w:lvlText w:val="%1"/>
      <w:lvlJc w:val="left"/>
      <w:pPr>
        <w:ind w:left="375" w:hanging="375"/>
      </w:pPr>
    </w:lvl>
    <w:lvl w:ilvl="1">
      <w:start w:val="10"/>
      <w:numFmt w:val="decimal"/>
      <w:isLgl w:val="false"/>
      <w:suff w:val="tab"/>
      <w:lvlText w:val="6.%2."/>
      <w:lvlJc w:val="left"/>
      <w:pPr>
        <w:ind w:left="1084" w:hanging="375"/>
      </w:pPr>
      <w:rPr>
        <w:rFonts w:ascii="Times New Roman" w:hAnsi="Times New Roman" w:cs="Times New Roman"/>
        <w:b/>
        <w:sz w:val="28"/>
        <w:szCs w:val="28"/>
      </w:rPr>
    </w:lvl>
    <w:lvl w:ilvl="2">
      <w:start w:val="5"/>
      <w:numFmt w:val="decimal"/>
      <w:isLgl w:val="false"/>
      <w:suff w:val="tab"/>
      <w:lvlText w:val="5.10.%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71">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2">
    <w:multiLevelType w:val="hybridMultilevel"/>
    <w:lvl w:ilvl="0">
      <w:start w:val="1"/>
      <w:numFmt w:val="bullet"/>
      <w:isLgl w:val="false"/>
      <w:suff w:val="tab"/>
      <w:lvlText w:val=""/>
      <w:lvlJc w:val="left"/>
      <w:pPr>
        <w:ind w:left="1260" w:hanging="360"/>
      </w:pPr>
      <w:rPr>
        <w:rFonts w:ascii="Symbol" w:hAnsi="Symbol"/>
      </w:rPr>
    </w:lvl>
    <w:lvl w:ilvl="1">
      <w:start w:val="1"/>
      <w:numFmt w:val="bullet"/>
      <w:isLgl w:val="false"/>
      <w:suff w:val="tab"/>
      <w:lvlText w:val="o"/>
      <w:lvlJc w:val="left"/>
      <w:pPr>
        <w:ind w:left="1980" w:hanging="360"/>
      </w:pPr>
      <w:rPr>
        <w:rFonts w:ascii="Courier New" w:hAnsi="Courier New"/>
      </w:rPr>
    </w:lvl>
    <w:lvl w:ilvl="2">
      <w:start w:val="1"/>
      <w:numFmt w:val="bullet"/>
      <w:isLgl w:val="false"/>
      <w:suff w:val="tab"/>
      <w:lvlText w:val=""/>
      <w:lvlJc w:val="left"/>
      <w:pPr>
        <w:ind w:left="2700" w:hanging="360"/>
      </w:pPr>
      <w:rPr>
        <w:rFonts w:ascii="Wingdings" w:hAnsi="Wingdings"/>
      </w:rPr>
    </w:lvl>
    <w:lvl w:ilvl="3">
      <w:start w:val="1"/>
      <w:numFmt w:val="bullet"/>
      <w:isLgl w:val="false"/>
      <w:suff w:val="tab"/>
      <w:lvlText w:val=""/>
      <w:lvlJc w:val="left"/>
      <w:pPr>
        <w:ind w:left="3420" w:hanging="360"/>
      </w:pPr>
      <w:rPr>
        <w:rFonts w:ascii="Symbol" w:hAnsi="Symbol"/>
      </w:rPr>
    </w:lvl>
    <w:lvl w:ilvl="4">
      <w:start w:val="1"/>
      <w:numFmt w:val="bullet"/>
      <w:isLgl w:val="false"/>
      <w:suff w:val="tab"/>
      <w:lvlText w:val="o"/>
      <w:lvlJc w:val="left"/>
      <w:pPr>
        <w:ind w:left="4140" w:hanging="360"/>
      </w:pPr>
      <w:rPr>
        <w:rFonts w:ascii="Courier New" w:hAnsi="Courier New"/>
      </w:rPr>
    </w:lvl>
    <w:lvl w:ilvl="5">
      <w:start w:val="1"/>
      <w:numFmt w:val="bullet"/>
      <w:isLgl w:val="false"/>
      <w:suff w:val="tab"/>
      <w:lvlText w:val=""/>
      <w:lvlJc w:val="left"/>
      <w:pPr>
        <w:ind w:left="4860" w:hanging="360"/>
      </w:pPr>
      <w:rPr>
        <w:rFonts w:ascii="Wingdings" w:hAnsi="Wingdings"/>
      </w:rPr>
    </w:lvl>
    <w:lvl w:ilvl="6">
      <w:start w:val="1"/>
      <w:numFmt w:val="bullet"/>
      <w:isLgl w:val="false"/>
      <w:suff w:val="tab"/>
      <w:lvlText w:val=""/>
      <w:lvlJc w:val="left"/>
      <w:pPr>
        <w:ind w:left="5580" w:hanging="360"/>
      </w:pPr>
      <w:rPr>
        <w:rFonts w:ascii="Symbol" w:hAnsi="Symbol"/>
      </w:rPr>
    </w:lvl>
    <w:lvl w:ilvl="7">
      <w:start w:val="1"/>
      <w:numFmt w:val="bullet"/>
      <w:isLgl w:val="false"/>
      <w:suff w:val="tab"/>
      <w:lvlText w:val="o"/>
      <w:lvlJc w:val="left"/>
      <w:pPr>
        <w:ind w:left="6300" w:hanging="360"/>
      </w:pPr>
      <w:rPr>
        <w:rFonts w:ascii="Courier New" w:hAnsi="Courier New"/>
      </w:rPr>
    </w:lvl>
    <w:lvl w:ilvl="8">
      <w:start w:val="1"/>
      <w:numFmt w:val="bullet"/>
      <w:isLgl w:val="false"/>
      <w:suff w:val="tab"/>
      <w:lvlText w:val=""/>
      <w:lvlJc w:val="left"/>
      <w:pPr>
        <w:ind w:left="7020" w:hanging="360"/>
      </w:pPr>
      <w:rPr>
        <w:rFonts w:ascii="Wingdings" w:hAnsi="Wingdings"/>
      </w:rPr>
    </w:lvl>
  </w:abstractNum>
  <w:abstractNum w:abstractNumId="73">
    <w:multiLevelType w:val="hybridMultilevel"/>
    <w:lvl w:ilvl="0">
      <w:start w:val="1"/>
      <w:numFmt w:val="decimal"/>
      <w:isLgl w:val="false"/>
      <w:suff w:val="tab"/>
      <w:lvlText w:val="1.%1."/>
      <w:lvlJc w:val="left"/>
      <w:pPr>
        <w:ind w:left="1429" w:hanging="360"/>
      </w:pPr>
      <w:rPr>
        <w:sz w:val="28"/>
        <w:szCs w:val="28"/>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4">
    <w:multiLevelType w:val="hybridMultilevel"/>
    <w:lvl w:ilvl="0">
      <w:start w:val="1"/>
      <w:numFmt w:val="decimal"/>
      <w:isLgl w:val="false"/>
      <w:suff w:val="tab"/>
      <w:lvlText w:val="16.2.12.%1."/>
      <w:lvlJc w:val="left"/>
      <w:pPr>
        <w:ind w:left="1429" w:hanging="360"/>
      </w:pPr>
      <w:rPr>
        <w:b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5">
    <w:multiLevelType w:val="hybridMultilevel"/>
    <w:lvl w:ilvl="0">
      <w:start w:val="13"/>
      <w:numFmt w:val="decimal"/>
      <w:isLgl w:val="false"/>
      <w:suff w:val="tab"/>
      <w:lvlText w:val="%1."/>
      <w:lvlJc w:val="left"/>
      <w:pPr>
        <w:ind w:left="1593" w:hanging="600"/>
      </w:pPr>
      <w:rPr>
        <w:b/>
      </w:rPr>
    </w:lvl>
    <w:lvl w:ilvl="1">
      <w:start w:val="1"/>
      <w:numFmt w:val="decimal"/>
      <w:isLgl w:val="false"/>
      <w:suff w:val="tab"/>
      <w:lvlText w:val="%1.%2."/>
      <w:lvlJc w:val="left"/>
      <w:pPr>
        <w:ind w:left="1855" w:hanging="720"/>
      </w:pPr>
      <w:rPr>
        <w:b/>
        <w:sz w:val="28"/>
        <w:szCs w:val="28"/>
      </w:rPr>
    </w:lvl>
    <w:lvl w:ilvl="2">
      <w:start w:val="1"/>
      <w:numFmt w:val="decimal"/>
      <w:isLgl w:val="false"/>
      <w:suff w:val="tab"/>
      <w:lvlText w:val="1.1.%3."/>
      <w:lvlJc w:val="left"/>
      <w:pPr>
        <w:ind w:left="1855" w:hanging="720"/>
      </w:pPr>
      <w:rPr>
        <w:b w:val="0"/>
        <w:i w:val="0"/>
        <w:color w:val="000000"/>
        <w:sz w:val="28"/>
        <w:szCs w:val="28"/>
      </w:r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76">
    <w:multiLevelType w:val="hybridMultilevel"/>
    <w:lvl w:ilvl="0">
      <w:start w:val="1"/>
      <w:numFmt w:val="decimal"/>
      <w:isLgl w:val="false"/>
      <w:suff w:val="tab"/>
      <w:lvlText w:val="16.4.5.%1."/>
      <w:lvlJc w:val="left"/>
      <w:pPr>
        <w:ind w:left="1800" w:hanging="360"/>
      </w:pPr>
      <w:rPr>
        <w:rFonts w:ascii="Times New Roman" w:hAnsi="Times New Roman" w:cs="Times New Roman"/>
        <w:sz w:val="28"/>
        <w:szCs w:val="28"/>
      </w:rPr>
    </w:lvl>
    <w:lvl w:ilvl="1">
      <w:start w:val="1"/>
      <w:numFmt w:val="lowerLetter"/>
      <w:isLgl w:val="false"/>
      <w:suff w:val="tab"/>
      <w:lvlText w:val="%2."/>
      <w:lvlJc w:val="left"/>
      <w:pPr>
        <w:ind w:left="2520" w:hanging="360"/>
      </w:pPr>
    </w:lvl>
    <w:lvl w:ilvl="2">
      <w:start w:val="1"/>
      <w:numFmt w:val="lowerRoman"/>
      <w:isLgl w:val="false"/>
      <w:suff w:val="tab"/>
      <w:lvlText w:val="%3."/>
      <w:lvlJc w:val="right"/>
      <w:pPr>
        <w:ind w:left="3240" w:hanging="180"/>
      </w:pPr>
    </w:lvl>
    <w:lvl w:ilvl="3">
      <w:start w:val="1"/>
      <w:numFmt w:val="decimal"/>
      <w:isLgl w:val="false"/>
      <w:suff w:val="tab"/>
      <w:lvlText w:val="%4."/>
      <w:lvlJc w:val="left"/>
      <w:pPr>
        <w:ind w:left="3960" w:hanging="360"/>
      </w:pPr>
    </w:lvl>
    <w:lvl w:ilvl="4">
      <w:start w:val="1"/>
      <w:numFmt w:val="lowerLetter"/>
      <w:isLgl w:val="false"/>
      <w:suff w:val="tab"/>
      <w:lvlText w:val="%5."/>
      <w:lvlJc w:val="left"/>
      <w:pPr>
        <w:ind w:left="4680" w:hanging="360"/>
      </w:pPr>
    </w:lvl>
    <w:lvl w:ilvl="5">
      <w:start w:val="1"/>
      <w:numFmt w:val="lowerRoman"/>
      <w:isLgl w:val="false"/>
      <w:suff w:val="tab"/>
      <w:lvlText w:val="%6."/>
      <w:lvlJc w:val="right"/>
      <w:pPr>
        <w:ind w:left="5400" w:hanging="180"/>
      </w:pPr>
    </w:lvl>
    <w:lvl w:ilvl="6">
      <w:start w:val="1"/>
      <w:numFmt w:val="decimal"/>
      <w:isLgl w:val="false"/>
      <w:suff w:val="tab"/>
      <w:lvlText w:val="%7."/>
      <w:lvlJc w:val="left"/>
      <w:pPr>
        <w:ind w:left="6120" w:hanging="360"/>
      </w:pPr>
    </w:lvl>
    <w:lvl w:ilvl="7">
      <w:start w:val="1"/>
      <w:numFmt w:val="lowerLetter"/>
      <w:isLgl w:val="false"/>
      <w:suff w:val="tab"/>
      <w:lvlText w:val="%8."/>
      <w:lvlJc w:val="left"/>
      <w:pPr>
        <w:ind w:left="6840" w:hanging="360"/>
      </w:pPr>
    </w:lvl>
    <w:lvl w:ilvl="8">
      <w:start w:val="1"/>
      <w:numFmt w:val="lowerRoman"/>
      <w:isLgl w:val="false"/>
      <w:suff w:val="tab"/>
      <w:lvlText w:val="%9."/>
      <w:lvlJc w:val="right"/>
      <w:pPr>
        <w:ind w:left="7560" w:hanging="180"/>
      </w:pPr>
    </w:lvl>
  </w:abstractNum>
  <w:abstractNum w:abstractNumId="77">
    <w:multiLevelType w:val="hybridMultilevel"/>
    <w:lvl w:ilvl="0">
      <w:start w:val="3"/>
      <w:numFmt w:val="decimal"/>
      <w:isLgl w:val="false"/>
      <w:suff w:val="tab"/>
      <w:lvlText w:val="6.4.%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8">
    <w:multiLevelType w:val="hybridMultilevel"/>
    <w:lvl w:ilvl="0">
      <w:start w:val="1"/>
      <w:numFmt w:val="decimal"/>
      <w:isLgl w:val="false"/>
      <w:suff w:val="tab"/>
      <w:lvlText w:val="4.2.%1."/>
      <w:lvlJc w:val="left"/>
      <w:pPr>
        <w:ind w:left="502" w:hanging="360"/>
      </w:pPr>
      <w:rPr>
        <w:b w:val="0"/>
        <w:strike w:val="0"/>
        <w:color w:val="00000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9">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80">
    <w:multiLevelType w:val="hybridMultilevel"/>
    <w:lvl w:ilvl="0">
      <w:start w:val="5"/>
      <w:numFmt w:val="decimal"/>
      <w:isLgl w:val="false"/>
      <w:suff w:val="tab"/>
      <w:lvlText w:val="%1"/>
      <w:lvlJc w:val="left"/>
      <w:pPr>
        <w:ind w:left="375" w:hanging="375"/>
      </w:pPr>
    </w:lvl>
    <w:lvl w:ilvl="1">
      <w:start w:val="10"/>
      <w:numFmt w:val="decimal"/>
      <w:isLgl w:val="false"/>
      <w:suff w:val="tab"/>
      <w:lvlText w:val="%1.%2"/>
      <w:lvlJc w:val="left"/>
      <w:pPr>
        <w:ind w:left="1084" w:hanging="375"/>
      </w:pPr>
    </w:lvl>
    <w:lvl w:ilvl="2">
      <w:start w:val="1"/>
      <w:numFmt w:val="decimal"/>
      <w:isLgl w:val="false"/>
      <w:suff w:val="tab"/>
      <w:lvlText w:val="6.10.%3."/>
      <w:lvlJc w:val="left"/>
      <w:pPr>
        <w:ind w:left="1713"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81">
    <w:multiLevelType w:val="hybridMultilevel"/>
    <w:lvl w:ilvl="0">
      <w:start w:val="6"/>
      <w:numFmt w:val="decimal"/>
      <w:isLgl w:val="false"/>
      <w:suff w:val="tab"/>
      <w:lvlText w:val="%1."/>
      <w:lvlJc w:val="left"/>
      <w:pPr>
        <w:ind w:left="675" w:hanging="675"/>
      </w:pPr>
    </w:lvl>
    <w:lvl w:ilvl="1">
      <w:start w:val="2"/>
      <w:numFmt w:val="decimal"/>
      <w:isLgl w:val="false"/>
      <w:suff w:val="tab"/>
      <w:lvlText w:val="%1.%2."/>
      <w:lvlJc w:val="left"/>
      <w:pPr>
        <w:ind w:left="1145" w:hanging="720"/>
      </w:pPr>
    </w:lvl>
    <w:lvl w:ilvl="2">
      <w:start w:val="1"/>
      <w:numFmt w:val="decimal"/>
      <w:isLgl w:val="false"/>
      <w:suff w:val="tab"/>
      <w:lvlText w:val="7.2.%3."/>
      <w:lvlJc w:val="left"/>
      <w:pPr>
        <w:ind w:left="1570" w:hanging="720"/>
      </w:pPr>
      <w:rPr>
        <w:sz w:val="28"/>
        <w:szCs w:val="28"/>
      </w:rPr>
    </w:lvl>
    <w:lvl w:ilvl="3">
      <w:start w:val="1"/>
      <w:numFmt w:val="decimal"/>
      <w:isLgl w:val="false"/>
      <w:suff w:val="tab"/>
      <w:lvlText w:val="%1.%2.%3.%4."/>
      <w:lvlJc w:val="left"/>
      <w:pPr>
        <w:ind w:left="2355" w:hanging="1080"/>
      </w:pPr>
    </w:lvl>
    <w:lvl w:ilvl="4">
      <w:start w:val="1"/>
      <w:numFmt w:val="decimal"/>
      <w:isLgl w:val="false"/>
      <w:suff w:val="tab"/>
      <w:lvlText w:val="%1.%2.%3.%4.%5."/>
      <w:lvlJc w:val="left"/>
      <w:pPr>
        <w:ind w:left="2780" w:hanging="1080"/>
      </w:pPr>
    </w:lvl>
    <w:lvl w:ilvl="5">
      <w:start w:val="1"/>
      <w:numFmt w:val="decimal"/>
      <w:isLgl w:val="false"/>
      <w:suff w:val="tab"/>
      <w:lvlText w:val="%1.%2.%3.%4.%5.%6."/>
      <w:lvlJc w:val="left"/>
      <w:pPr>
        <w:ind w:left="3565" w:hanging="1440"/>
      </w:pPr>
    </w:lvl>
    <w:lvl w:ilvl="6">
      <w:start w:val="1"/>
      <w:numFmt w:val="decimal"/>
      <w:isLgl w:val="false"/>
      <w:suff w:val="tab"/>
      <w:lvlText w:val="%1.%2.%3.%4.%5.%6.%7."/>
      <w:lvlJc w:val="left"/>
      <w:pPr>
        <w:ind w:left="4350" w:hanging="1800"/>
      </w:pPr>
    </w:lvl>
    <w:lvl w:ilvl="7">
      <w:start w:val="1"/>
      <w:numFmt w:val="decimal"/>
      <w:isLgl w:val="false"/>
      <w:suff w:val="tab"/>
      <w:lvlText w:val="%1.%2.%3.%4.%5.%6.%7.%8."/>
      <w:lvlJc w:val="left"/>
      <w:pPr>
        <w:ind w:left="4775" w:hanging="1800"/>
      </w:pPr>
    </w:lvl>
    <w:lvl w:ilvl="8">
      <w:start w:val="1"/>
      <w:numFmt w:val="decimal"/>
      <w:isLgl w:val="false"/>
      <w:suff w:val="tab"/>
      <w:lvlText w:val="%1.%2.%3.%4.%5.%6.%7.%8.%9."/>
      <w:lvlJc w:val="left"/>
      <w:pPr>
        <w:ind w:left="5560" w:hanging="2160"/>
      </w:pPr>
    </w:lvl>
  </w:abstractNum>
  <w:abstractNum w:abstractNumId="82">
    <w:multiLevelType w:val="hybridMultilevel"/>
    <w:lvl w:ilvl="0">
      <w:start w:val="1"/>
      <w:numFmt w:val="decimal"/>
      <w:isLgl w:val="false"/>
      <w:suff w:val="tab"/>
      <w:lvlText w:val="10.1.7.%1."/>
      <w:lvlJc w:val="left"/>
      <w:pPr>
        <w:ind w:left="2280" w:hanging="360"/>
      </w:pPr>
    </w:lvl>
    <w:lvl w:ilvl="1">
      <w:start w:val="1"/>
      <w:numFmt w:val="decimal"/>
      <w:isLgl w:val="false"/>
      <w:suff w:val="tab"/>
      <w:lvlText w:val="12.1.7.%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3">
    <w:multiLevelType w:val="hybridMultilevel"/>
    <w:lvl w:ilvl="0">
      <w:start w:val="1"/>
      <w:numFmt w:val="upperRoman"/>
      <w:isLgl w:val="false"/>
      <w:suff w:val="tab"/>
      <w:lvlText w:val="%1."/>
      <w:lvlJc w:val="righ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4">
    <w:multiLevelType w:val="hybridMultilevel"/>
    <w:lvl w:ilvl="0">
      <w:start w:val="1"/>
      <w:numFmt w:val="decimal"/>
      <w:isLgl w:val="false"/>
      <w:suff w:val="tab"/>
      <w:lvlText w:val="16.4.7.%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5">
    <w:multiLevelType w:val="hybridMultilevel"/>
    <w:lvl w:ilvl="0">
      <w:start w:val="11"/>
      <w:numFmt w:val="decimal"/>
      <w:isLgl w:val="false"/>
      <w:suff w:val="tab"/>
      <w:lvlText w:val="%1."/>
      <w:lvlJc w:val="left"/>
      <w:pPr>
        <w:ind w:left="825" w:hanging="825"/>
      </w:pPr>
    </w:lvl>
    <w:lvl w:ilvl="1">
      <w:start w:val="1"/>
      <w:numFmt w:val="decimal"/>
      <w:isLgl w:val="false"/>
      <w:suff w:val="tab"/>
      <w:lvlText w:val="%1.%2."/>
      <w:lvlJc w:val="left"/>
      <w:pPr>
        <w:ind w:left="1179" w:hanging="825"/>
      </w:pPr>
      <w:rPr>
        <w:b/>
        <w:sz w:val="24"/>
        <w:szCs w:val="24"/>
      </w:rPr>
    </w:lvl>
    <w:lvl w:ilvl="2">
      <w:start w:val="1"/>
      <w:numFmt w:val="decimal"/>
      <w:isLgl w:val="false"/>
      <w:suff w:val="tab"/>
      <w:lvlText w:val="12.1.%3."/>
      <w:lvlJc w:val="left"/>
      <w:pPr>
        <w:ind w:left="1533" w:hanging="825"/>
      </w:pPr>
      <w:rPr>
        <w:b w:val="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86">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429" w:hanging="720"/>
      </w:pPr>
    </w:lvl>
    <w:lvl w:ilvl="2">
      <w:start w:val="1"/>
      <w:numFmt w:val="decimal"/>
      <w:isLgl w:val="false"/>
      <w:suff w:val="tab"/>
      <w:lvlText w:val="7.1.%3."/>
      <w:lvlJc w:val="left"/>
      <w:pPr>
        <w:ind w:left="2138" w:hanging="720"/>
      </w:pPr>
      <w:rPr>
        <w:rFonts w:ascii="Times New Roman" w:hAnsi="Times New Roman" w:eastAsia="Times New Roman" w:cs="Times New Roman"/>
        <w:sz w:val="28"/>
        <w:szCs w:val="28"/>
      </w:rPr>
    </w:lvl>
    <w:lvl w:ilvl="3">
      <w:start w:val="7"/>
      <w:numFmt w:val="decimal"/>
      <w:isLgl w:val="false"/>
      <w:suff w:val="tab"/>
      <w:lvlText w:val="%4.2.1."/>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87">
    <w:multiLevelType w:val="hybridMultilevel"/>
    <w:lvl w:ilvl="0">
      <w:start w:val="1"/>
      <w:numFmt w:val="decimal"/>
      <w:isLgl w:val="false"/>
      <w:suff w:val="tab"/>
      <w:lvlText w:val="15.%1."/>
      <w:lvlJc w:val="left"/>
      <w:pPr>
        <w:ind w:left="214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8">
    <w:multiLevelType w:val="hybridMultilevel"/>
    <w:lvl w:ilvl="0">
      <w:start w:val="1"/>
      <w:numFmt w:val="decimal"/>
      <w:isLgl w:val="false"/>
      <w:suff w:val="tab"/>
      <w:lvlText w:val="4.3.6.%1."/>
      <w:lvlJc w:val="left"/>
      <w:pPr>
        <w:ind w:left="142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9">
    <w:multiLevelType w:val="hybridMultilevel"/>
    <w:lvl w:ilvl="0">
      <w:start w:val="1"/>
      <w:numFmt w:val="decimal"/>
      <w:isLgl w:val="false"/>
      <w:suff w:val="tab"/>
      <w:lvlText w:val="16.4.4.%1."/>
      <w:lvlJc w:val="left"/>
      <w:pPr>
        <w:ind w:left="1429" w:hanging="360"/>
      </w:pPr>
      <w:rPr>
        <w:rFonts w:ascii="Times New Roman" w:hAnsi="Times New Roman" w:cs="Times New Roman"/>
        <w:b w:val="0"/>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rPr>
        <w:b/>
      </w:r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0">
    <w:multiLevelType w:val="hybridMultilevel"/>
    <w:lvl w:ilvl="0">
      <w:start w:val="5"/>
      <w:numFmt w:val="decimal"/>
      <w:isLgl w:val="false"/>
      <w:suff w:val="tab"/>
      <w:lvlText w:val="%1."/>
      <w:lvlJc w:val="left"/>
      <w:pPr>
        <w:ind w:left="675" w:hanging="675"/>
      </w:pPr>
    </w:lvl>
    <w:lvl w:ilvl="1">
      <w:start w:val="3"/>
      <w:numFmt w:val="decimal"/>
      <w:isLgl w:val="false"/>
      <w:suff w:val="tab"/>
      <w:lvlText w:val="6.%2."/>
      <w:lvlJc w:val="left"/>
      <w:pPr>
        <w:ind w:left="1074" w:hanging="720"/>
      </w:pPr>
      <w:rPr>
        <w:b/>
      </w:rPr>
    </w:lvl>
    <w:lvl w:ilvl="2">
      <w:start w:val="9"/>
      <w:numFmt w:val="decimal"/>
      <w:isLgl w:val="false"/>
      <w:suff w:val="tab"/>
      <w:lvlText w:val="6.4.%3."/>
      <w:lvlJc w:val="left"/>
      <w:pPr>
        <w:ind w:left="1428" w:hanging="720"/>
      </w:pPr>
      <w:rPr>
        <w:b w:val="0"/>
        <w:color w:val="000000"/>
        <w:sz w:val="28"/>
        <w:szCs w:val="28"/>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91">
    <w:multiLevelType w:val="hybridMultilevel"/>
    <w:lvl w:ilvl="0">
      <w:start w:val="1"/>
      <w:numFmt w:val="decimal"/>
      <w:isLgl w:val="false"/>
      <w:suff w:val="tab"/>
      <w:lvlText w:val="6.1.9.%1."/>
      <w:lvlJc w:val="left"/>
      <w:pPr>
        <w:ind w:left="142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2">
    <w:multiLevelType w:val="hybridMultilevel"/>
    <w:lvl w:ilvl="0">
      <w:start w:val="6"/>
      <w:numFmt w:val="decimal"/>
      <w:isLgl w:val="false"/>
      <w:suff w:val="tab"/>
      <w:lvlText w:val="%1."/>
      <w:lvlJc w:val="left"/>
      <w:pPr>
        <w:ind w:left="675" w:hanging="675"/>
      </w:pPr>
    </w:lvl>
    <w:lvl w:ilvl="1">
      <w:start w:val="3"/>
      <w:numFmt w:val="decimal"/>
      <w:isLgl w:val="false"/>
      <w:suff w:val="tab"/>
      <w:lvlText w:val="%1.%2."/>
      <w:lvlJc w:val="left"/>
      <w:pPr>
        <w:ind w:left="1145" w:hanging="720"/>
      </w:pPr>
    </w:lvl>
    <w:lvl w:ilvl="2">
      <w:start w:val="4"/>
      <w:numFmt w:val="decimal"/>
      <w:isLgl w:val="false"/>
      <w:suff w:val="tab"/>
      <w:lvlText w:val="7.3.%3."/>
      <w:lvlJc w:val="left"/>
      <w:pPr>
        <w:ind w:left="1570" w:hanging="720"/>
      </w:pPr>
      <w:rPr>
        <w:b w:val="0"/>
        <w:color w:val="000000"/>
      </w:rPr>
    </w:lvl>
    <w:lvl w:ilvl="3">
      <w:start w:val="1"/>
      <w:numFmt w:val="decimal"/>
      <w:isLgl w:val="false"/>
      <w:suff w:val="tab"/>
      <w:lvlText w:val="%1.%2.%3.%4."/>
      <w:lvlJc w:val="left"/>
      <w:pPr>
        <w:ind w:left="2355" w:hanging="1080"/>
      </w:pPr>
    </w:lvl>
    <w:lvl w:ilvl="4">
      <w:start w:val="1"/>
      <w:numFmt w:val="decimal"/>
      <w:isLgl w:val="false"/>
      <w:suff w:val="tab"/>
      <w:lvlText w:val="%1.%2.%3.%4.%5."/>
      <w:lvlJc w:val="left"/>
      <w:pPr>
        <w:ind w:left="2780" w:hanging="1080"/>
      </w:pPr>
    </w:lvl>
    <w:lvl w:ilvl="5">
      <w:start w:val="1"/>
      <w:numFmt w:val="decimal"/>
      <w:isLgl w:val="false"/>
      <w:suff w:val="tab"/>
      <w:lvlText w:val="%1.%2.%3.%4.%5.%6."/>
      <w:lvlJc w:val="left"/>
      <w:pPr>
        <w:ind w:left="3565" w:hanging="1440"/>
      </w:pPr>
    </w:lvl>
    <w:lvl w:ilvl="6">
      <w:start w:val="1"/>
      <w:numFmt w:val="decimal"/>
      <w:isLgl w:val="false"/>
      <w:suff w:val="tab"/>
      <w:lvlText w:val="%1.%2.%3.%4.%5.%6.%7."/>
      <w:lvlJc w:val="left"/>
      <w:pPr>
        <w:ind w:left="4350" w:hanging="1800"/>
      </w:pPr>
    </w:lvl>
    <w:lvl w:ilvl="7">
      <w:start w:val="1"/>
      <w:numFmt w:val="decimal"/>
      <w:isLgl w:val="false"/>
      <w:suff w:val="tab"/>
      <w:lvlText w:val="%1.%2.%3.%4.%5.%6.%7.%8."/>
      <w:lvlJc w:val="left"/>
      <w:pPr>
        <w:ind w:left="4775" w:hanging="1800"/>
      </w:pPr>
    </w:lvl>
    <w:lvl w:ilvl="8">
      <w:start w:val="1"/>
      <w:numFmt w:val="decimal"/>
      <w:isLgl w:val="false"/>
      <w:suff w:val="tab"/>
      <w:lvlText w:val="%1.%2.%3.%4.%5.%6.%7.%8.%9."/>
      <w:lvlJc w:val="left"/>
      <w:pPr>
        <w:ind w:left="5560" w:hanging="2160"/>
      </w:pPr>
    </w:lvl>
  </w:abstractNum>
  <w:abstractNum w:abstractNumId="93">
    <w:multiLevelType w:val="hybridMultilevel"/>
    <w:lvl w:ilvl="0">
      <w:start w:val="3"/>
      <w:numFmt w:val="decimal"/>
      <w:isLgl w:val="false"/>
      <w:suff w:val="tab"/>
      <w:lvlText w:val="7.3.%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4">
    <w:multiLevelType w:val="hybridMultilevel"/>
    <w:lvl w:ilvl="0">
      <w:start w:val="1"/>
      <w:numFmt w:val="decimal"/>
      <w:isLgl w:val="false"/>
      <w:suff w:val="tab"/>
      <w:lvlText w:val="13.2.4.%1."/>
      <w:lvlJc w:val="left"/>
      <w:pPr>
        <w:ind w:left="1429" w:hanging="360"/>
      </w:pPr>
      <w:rPr>
        <w:rFonts w:ascii="Times New Roman" w:hAnsi="Times New Roman" w:cs="Times New Roman"/>
        <w:b w:val="0"/>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5">
    <w:multiLevelType w:val="hybridMultilevel"/>
    <w:lvl w:ilvl="0">
      <w:start w:val="1"/>
      <w:numFmt w:val="bullet"/>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96">
    <w:multiLevelType w:val="hybridMultilevel"/>
    <w:lvl w:ilvl="0">
      <w:start w:val="1"/>
      <w:numFmt w:val="decimal"/>
      <w:isLgl w:val="false"/>
      <w:suff w:val="tab"/>
      <w:lvlText w:val="13.1.15.%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7">
    <w:multiLevelType w:val="hybridMultilevel"/>
    <w:lvl w:ilvl="0">
      <w:start w:val="3"/>
      <w:numFmt w:val="decimal"/>
      <w:isLgl w:val="false"/>
      <w:suff w:val="tab"/>
      <w:lvlText w:val="%1."/>
      <w:lvlJc w:val="left"/>
      <w:pPr>
        <w:ind w:left="900" w:hanging="900"/>
      </w:pPr>
    </w:lvl>
    <w:lvl w:ilvl="1">
      <w:start w:val="4"/>
      <w:numFmt w:val="decimal"/>
      <w:isLgl w:val="false"/>
      <w:suff w:val="tab"/>
      <w:lvlText w:val="4.%2."/>
      <w:lvlJc w:val="left"/>
      <w:pPr>
        <w:ind w:left="1256" w:hanging="900"/>
      </w:pPr>
    </w:lvl>
    <w:lvl w:ilvl="2">
      <w:start w:val="1"/>
      <w:numFmt w:val="decimal"/>
      <w:isLgl w:val="false"/>
      <w:suff w:val="tab"/>
      <w:lvlText w:val="4.4.%3."/>
      <w:lvlJc w:val="left"/>
      <w:pPr>
        <w:ind w:left="1612" w:hanging="900"/>
      </w:pPr>
      <w:rPr>
        <w:b w:val="0"/>
        <w:strike w:val="0"/>
        <w:color w:val="000000"/>
        <w:sz w:val="28"/>
        <w:szCs w:val="28"/>
      </w:rPr>
    </w:lvl>
    <w:lvl w:ilvl="3">
      <w:start w:val="3"/>
      <w:numFmt w:val="decimal"/>
      <w:isLgl w:val="false"/>
      <w:suff w:val="tab"/>
      <w:lvlText w:val="4.4.1.%4."/>
      <w:lvlJc w:val="left"/>
      <w:pPr>
        <w:ind w:left="1648" w:hanging="1080"/>
      </w:pPr>
      <w:rPr>
        <w:b w:val="0"/>
      </w:r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98">
    <w:multiLevelType w:val="hybridMultilevel"/>
    <w:lvl w:ilvl="0">
      <w:start w:val="4"/>
      <w:numFmt w:val="decimal"/>
      <w:isLgl w:val="false"/>
      <w:suff w:val="tab"/>
      <w:lvlText w:val="%1."/>
      <w:lvlJc w:val="left"/>
      <w:pPr>
        <w:ind w:left="900" w:hanging="900"/>
      </w:pPr>
    </w:lvl>
    <w:lvl w:ilvl="1">
      <w:start w:val="4"/>
      <w:numFmt w:val="decimal"/>
      <w:isLgl w:val="false"/>
      <w:suff w:val="tab"/>
      <w:lvlText w:val="%1.%2."/>
      <w:lvlJc w:val="left"/>
      <w:pPr>
        <w:ind w:left="1136" w:hanging="900"/>
      </w:pPr>
    </w:lvl>
    <w:lvl w:ilvl="2">
      <w:start w:val="6"/>
      <w:numFmt w:val="decimal"/>
      <w:isLgl w:val="false"/>
      <w:suff w:val="tab"/>
      <w:lvlText w:val="%1.%2.%3."/>
      <w:lvlJc w:val="left"/>
      <w:pPr>
        <w:ind w:left="1372" w:hanging="900"/>
      </w:pPr>
    </w:lvl>
    <w:lvl w:ilvl="3">
      <w:start w:val="1"/>
      <w:numFmt w:val="decimal"/>
      <w:isLgl w:val="false"/>
      <w:suff w:val="tab"/>
      <w:lvlText w:val="%1.%2.%3.%4."/>
      <w:lvlJc w:val="left"/>
      <w:pPr>
        <w:ind w:left="1788" w:hanging="1080"/>
      </w:pPr>
    </w:lvl>
    <w:lvl w:ilvl="4">
      <w:start w:val="1"/>
      <w:numFmt w:val="decimal"/>
      <w:isLgl w:val="false"/>
      <w:suff w:val="tab"/>
      <w:lvlText w:val="%1.%2.%3.%4.%5."/>
      <w:lvlJc w:val="left"/>
      <w:pPr>
        <w:ind w:left="2024" w:hanging="1080"/>
      </w:pPr>
    </w:lvl>
    <w:lvl w:ilvl="5">
      <w:start w:val="1"/>
      <w:numFmt w:val="decimal"/>
      <w:isLgl w:val="false"/>
      <w:suff w:val="tab"/>
      <w:lvlText w:val="%1.%2.%3.%4.%5.%6."/>
      <w:lvlJc w:val="left"/>
      <w:pPr>
        <w:ind w:left="2620" w:hanging="1440"/>
      </w:pPr>
    </w:lvl>
    <w:lvl w:ilvl="6">
      <w:start w:val="1"/>
      <w:numFmt w:val="decimal"/>
      <w:isLgl w:val="false"/>
      <w:suff w:val="tab"/>
      <w:lvlText w:val="%1.%2.%3.%4.%5.%6.%7."/>
      <w:lvlJc w:val="left"/>
      <w:pPr>
        <w:ind w:left="3216" w:hanging="1800"/>
      </w:pPr>
    </w:lvl>
    <w:lvl w:ilvl="7">
      <w:start w:val="1"/>
      <w:numFmt w:val="decimal"/>
      <w:isLgl w:val="false"/>
      <w:suff w:val="tab"/>
      <w:lvlText w:val="%1.%2.%3.%4.%5.%6.%7.%8."/>
      <w:lvlJc w:val="left"/>
      <w:pPr>
        <w:ind w:left="3452" w:hanging="1800"/>
      </w:pPr>
    </w:lvl>
    <w:lvl w:ilvl="8">
      <w:start w:val="1"/>
      <w:numFmt w:val="decimal"/>
      <w:isLgl w:val="false"/>
      <w:suff w:val="tab"/>
      <w:lvlText w:val="%1.%2.%3.%4.%5.%6.%7.%8.%9."/>
      <w:lvlJc w:val="left"/>
      <w:pPr>
        <w:ind w:left="4048" w:hanging="2160"/>
      </w:pPr>
    </w:lvl>
  </w:abstractNum>
  <w:abstractNum w:abstractNumId="99">
    <w:multiLevelType w:val="hybridMultilevel"/>
    <w:lvl w:ilvl="0">
      <w:start w:val="1"/>
      <w:numFmt w:val="decimal"/>
      <w:isLgl w:val="false"/>
      <w:suff w:val="tab"/>
      <w:lvlText w:val="13.2.10.%1."/>
      <w:lvlJc w:val="left"/>
      <w:pPr>
        <w:ind w:left="1429" w:hanging="360"/>
      </w:pPr>
      <w:rPr>
        <w:rFonts w:ascii="Times New Roman" w:hAnsi="Times New Roman" w:cs="Times New Roman"/>
        <w:b w:val="0"/>
        <w:color w:val="000000"/>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0">
    <w:multiLevelType w:val="hybridMultilevel"/>
    <w:lvl w:ilvl="0">
      <w:start w:val="1"/>
      <w:numFmt w:val="decimal"/>
      <w:isLgl w:val="false"/>
      <w:suff w:val="tab"/>
      <w:lvlText w:val="13.1.5.%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1">
    <w:multiLevelType w:val="hybridMultilevel"/>
    <w:lvl w:ilvl="0">
      <w:start w:val="1"/>
      <w:numFmt w:val="decimal"/>
      <w:isLgl w:val="false"/>
      <w:suff w:val="tab"/>
      <w:lvlText w:val="6.1.25.%1."/>
      <w:lvlJc w:val="left"/>
      <w:pPr>
        <w:ind w:left="4472" w:hanging="360"/>
      </w:pPr>
      <w:rPr>
        <w:b w:val="0"/>
        <w:strike w:val="0"/>
        <w:sz w:val="28"/>
        <w:szCs w:val="2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2">
    <w:multiLevelType w:val="hybridMultilevel"/>
    <w:lvl w:ilvl="0">
      <w:start w:val="6"/>
      <w:numFmt w:val="decimal"/>
      <w:isLgl w:val="false"/>
      <w:suff w:val="tab"/>
      <w:lvlText w:val="%1."/>
      <w:lvlJc w:val="left"/>
      <w:pPr>
        <w:ind w:left="900" w:hanging="900"/>
      </w:pPr>
    </w:lvl>
    <w:lvl w:ilvl="1">
      <w:start w:val="1"/>
      <w:numFmt w:val="decimal"/>
      <w:isLgl w:val="false"/>
      <w:suff w:val="tab"/>
      <w:lvlText w:val="5.%2."/>
      <w:lvlJc w:val="left"/>
      <w:pPr>
        <w:ind w:left="1256" w:hanging="900"/>
      </w:pPr>
      <w:rPr>
        <w:rFonts w:ascii="Times New Roman" w:hAnsi="Times New Roman" w:cs="Times New Roman"/>
        <w:b w:val="0"/>
        <w:sz w:val="24"/>
        <w:szCs w:val="24"/>
      </w:rPr>
    </w:lvl>
    <w:lvl w:ilvl="2">
      <w:start w:val="3"/>
      <w:numFmt w:val="decimal"/>
      <w:isLgl w:val="false"/>
      <w:suff w:val="tab"/>
      <w:lvlText w:val="3.5.%3."/>
      <w:lvlJc w:val="left"/>
      <w:pPr>
        <w:ind w:left="1612" w:hanging="900"/>
      </w:pPr>
      <w:rPr>
        <w:color w:val="000000"/>
        <w:sz w:val="28"/>
      </w:rPr>
    </w:lvl>
    <w:lvl w:ilvl="3">
      <w:start w:val="1"/>
      <w:numFmt w:val="decimal"/>
      <w:isLgl w:val="false"/>
      <w:suff w:val="tab"/>
      <w:lvlText w:val="%1.%2.%3.%4."/>
      <w:lvlJc w:val="left"/>
      <w:pPr>
        <w:ind w:left="8169" w:hanging="1080"/>
      </w:p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103">
    <w:multiLevelType w:val="hybridMultilevel"/>
    <w:lvl w:ilvl="0">
      <w:start w:val="15"/>
      <w:numFmt w:val="decimal"/>
      <w:isLgl w:val="false"/>
      <w:suff w:val="tab"/>
      <w:lvlText w:val="%1."/>
      <w:lvlJc w:val="left"/>
      <w:pPr>
        <w:ind w:left="600" w:hanging="600"/>
      </w:pPr>
      <w:rPr>
        <w:b/>
      </w:rPr>
    </w:lvl>
    <w:lvl w:ilvl="1">
      <w:start w:val="3"/>
      <w:numFmt w:val="decimal"/>
      <w:isLgl w:val="false"/>
      <w:suff w:val="tab"/>
      <w:lvlText w:val="16.%2."/>
      <w:lvlJc w:val="left"/>
      <w:pPr>
        <w:ind w:left="1429" w:hanging="720"/>
      </w:pPr>
      <w:rPr>
        <w:b/>
      </w:rPr>
    </w:lvl>
    <w:lvl w:ilvl="2">
      <w:start w:val="1"/>
      <w:numFmt w:val="decimal"/>
      <w:isLgl w:val="false"/>
      <w:suff w:val="tab"/>
      <w:lvlText w:val="16.3.%3."/>
      <w:lvlJc w:val="left"/>
      <w:pPr>
        <w:ind w:left="1713" w:hanging="720"/>
      </w:pPr>
      <w:rPr>
        <w:b w:val="0"/>
        <w:color w:val="000000"/>
        <w:sz w:val="28"/>
        <w:szCs w:val="28"/>
      </w:rPr>
    </w:lvl>
    <w:lvl w:ilvl="3">
      <w:start w:val="1"/>
      <w:numFmt w:val="thaiNumbers"/>
      <w:isLgl w:val="false"/>
      <w:suff w:val="tab"/>
      <w:lvlText w:val="%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6054" w:hanging="180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104">
    <w:multiLevelType w:val="hybridMultilevel"/>
    <w:lvl w:ilvl="0">
      <w:start w:val="9"/>
      <w:numFmt w:val="decimal"/>
      <w:isLgl w:val="false"/>
      <w:suff w:val="tab"/>
      <w:lvlText w:val="%1."/>
      <w:lvlJc w:val="left"/>
      <w:pPr>
        <w:ind w:left="1443" w:hanging="450"/>
      </w:pPr>
    </w:lvl>
    <w:lvl w:ilvl="1">
      <w:start w:val="1"/>
      <w:numFmt w:val="decimal"/>
      <w:isLgl w:val="false"/>
      <w:suff w:val="tab"/>
      <w:lvlText w:val="%1.%2."/>
      <w:lvlJc w:val="left"/>
      <w:pPr>
        <w:ind w:left="2138" w:hanging="720"/>
      </w:pPr>
      <w:rPr>
        <w:b w:val="0"/>
      </w:rPr>
    </w:lvl>
    <w:lvl w:ilvl="2">
      <w:start w:val="8"/>
      <w:numFmt w:val="decimal"/>
      <w:isLgl w:val="false"/>
      <w:suff w:val="tab"/>
      <w:lvlText w:val="%3.2."/>
      <w:lvlJc w:val="left"/>
      <w:pPr>
        <w:ind w:left="2421" w:hanging="720"/>
      </w:pPr>
    </w:lvl>
    <w:lvl w:ilvl="3">
      <w:start w:val="1"/>
      <w:numFmt w:val="decimal"/>
      <w:isLgl w:val="false"/>
      <w:suff w:val="tab"/>
      <w:lvlText w:val="%1.%2.%3.%4."/>
      <w:lvlJc w:val="left"/>
      <w:pPr>
        <w:ind w:left="3490" w:hanging="1080"/>
      </w:pPr>
    </w:lvl>
    <w:lvl w:ilvl="4">
      <w:start w:val="1"/>
      <w:numFmt w:val="decimal"/>
      <w:isLgl w:val="false"/>
      <w:suff w:val="tab"/>
      <w:lvlText w:val="%1.%2.%3.%4.%5."/>
      <w:lvlJc w:val="left"/>
      <w:pPr>
        <w:ind w:left="4199" w:hanging="1080"/>
      </w:pPr>
    </w:lvl>
    <w:lvl w:ilvl="5">
      <w:start w:val="1"/>
      <w:numFmt w:val="decimal"/>
      <w:isLgl w:val="false"/>
      <w:suff w:val="tab"/>
      <w:lvlText w:val="%1.%2.%3.%4.%5.%6."/>
      <w:lvlJc w:val="left"/>
      <w:pPr>
        <w:ind w:left="5268" w:hanging="1440"/>
      </w:pPr>
    </w:lvl>
    <w:lvl w:ilvl="6">
      <w:start w:val="1"/>
      <w:numFmt w:val="decimal"/>
      <w:isLgl w:val="false"/>
      <w:suff w:val="tab"/>
      <w:lvlText w:val="%1.%2.%3.%4.%5.%6.%7."/>
      <w:lvlJc w:val="left"/>
      <w:pPr>
        <w:ind w:left="6337" w:hanging="1800"/>
      </w:pPr>
    </w:lvl>
    <w:lvl w:ilvl="7">
      <w:start w:val="1"/>
      <w:numFmt w:val="decimal"/>
      <w:isLgl w:val="false"/>
      <w:suff w:val="tab"/>
      <w:lvlText w:val="%1.%2.%3.%4.%5.%6.%7.%8."/>
      <w:lvlJc w:val="left"/>
      <w:pPr>
        <w:ind w:left="7046" w:hanging="1800"/>
      </w:pPr>
    </w:lvl>
    <w:lvl w:ilvl="8">
      <w:start w:val="1"/>
      <w:numFmt w:val="decimal"/>
      <w:isLgl w:val="false"/>
      <w:suff w:val="tab"/>
      <w:lvlText w:val="%1.%2.%3.%4.%5.%6.%7.%8.%9."/>
      <w:lvlJc w:val="left"/>
      <w:pPr>
        <w:ind w:left="8115" w:hanging="2160"/>
      </w:pPr>
    </w:lvl>
  </w:abstractNum>
  <w:abstractNum w:abstractNumId="105">
    <w:multiLevelType w:val="hybridMultilevel"/>
    <w:lvl w:ilvl="0">
      <w:start w:val="5"/>
      <w:numFmt w:val="decimal"/>
      <w:isLgl w:val="false"/>
      <w:suff w:val="tab"/>
      <w:lvlText w:val="%1."/>
      <w:lvlJc w:val="left"/>
      <w:pPr>
        <w:ind w:left="900" w:hanging="900"/>
      </w:pPr>
    </w:lvl>
    <w:lvl w:ilvl="1">
      <w:start w:val="2"/>
      <w:numFmt w:val="decimal"/>
      <w:isLgl w:val="false"/>
      <w:suff w:val="tab"/>
      <w:lvlText w:val="6.%2."/>
      <w:lvlJc w:val="left"/>
      <w:pPr>
        <w:ind w:left="1893" w:hanging="900"/>
      </w:pPr>
      <w:rPr>
        <w:b/>
      </w:rPr>
    </w:lvl>
    <w:lvl w:ilvl="2">
      <w:start w:val="1"/>
      <w:numFmt w:val="decimal"/>
      <w:isLgl w:val="false"/>
      <w:suff w:val="tab"/>
      <w:lvlText w:val="5.1.%3."/>
      <w:lvlJc w:val="left"/>
      <w:pPr>
        <w:ind w:left="1612" w:hanging="900"/>
      </w:pPr>
      <w:rPr>
        <w:color w:val="000000"/>
        <w:sz w:val="28"/>
      </w:rPr>
    </w:lvl>
    <w:lvl w:ilvl="3">
      <w:start w:val="1"/>
      <w:numFmt w:val="decimal"/>
      <w:isLgl w:val="false"/>
      <w:suff w:val="tab"/>
      <w:lvlText w:val="%1.%2.%3.%4."/>
      <w:lvlJc w:val="left"/>
      <w:pPr>
        <w:ind w:left="8169" w:hanging="1080"/>
      </w:pPr>
    </w:lvl>
    <w:lvl w:ilvl="4">
      <w:start w:val="1"/>
      <w:numFmt w:val="decimal"/>
      <w:isLgl w:val="false"/>
      <w:suff w:val="tab"/>
      <w:lvlText w:val="%1.%2.%3.%4.%5."/>
      <w:lvlJc w:val="left"/>
      <w:pPr>
        <w:ind w:left="2504" w:hanging="1080"/>
      </w:pPr>
    </w:lvl>
    <w:lvl w:ilvl="5">
      <w:start w:val="1"/>
      <w:numFmt w:val="decimal"/>
      <w:isLgl w:val="false"/>
      <w:suff w:val="tab"/>
      <w:lvlText w:val="%1.%2.%3.%4.%5.%6."/>
      <w:lvlJc w:val="left"/>
      <w:pPr>
        <w:ind w:left="3220" w:hanging="1440"/>
      </w:pPr>
    </w:lvl>
    <w:lvl w:ilvl="6">
      <w:start w:val="1"/>
      <w:numFmt w:val="decimal"/>
      <w:isLgl w:val="false"/>
      <w:suff w:val="tab"/>
      <w:lvlText w:val="%1.%2.%3.%4.%5.%6.%7."/>
      <w:lvlJc w:val="left"/>
      <w:pPr>
        <w:ind w:left="3936" w:hanging="1800"/>
      </w:pPr>
    </w:lvl>
    <w:lvl w:ilvl="7">
      <w:start w:val="1"/>
      <w:numFmt w:val="decimal"/>
      <w:isLgl w:val="false"/>
      <w:suff w:val="tab"/>
      <w:lvlText w:val="%1.%2.%3.%4.%5.%6.%7.%8."/>
      <w:lvlJc w:val="left"/>
      <w:pPr>
        <w:ind w:left="4292" w:hanging="1800"/>
      </w:pPr>
    </w:lvl>
    <w:lvl w:ilvl="8">
      <w:start w:val="1"/>
      <w:numFmt w:val="decimal"/>
      <w:isLgl w:val="false"/>
      <w:suff w:val="tab"/>
      <w:lvlText w:val="%1.%2.%3.%4.%5.%6.%7.%8.%9."/>
      <w:lvlJc w:val="left"/>
      <w:pPr>
        <w:ind w:left="5008" w:hanging="2160"/>
      </w:pPr>
    </w:lvl>
  </w:abstractNum>
  <w:abstractNum w:abstractNumId="106">
    <w:multiLevelType w:val="hybridMultilevel"/>
    <w:lvl w:ilvl="0">
      <w:start w:val="5"/>
      <w:numFmt w:val="decimal"/>
      <w:isLgl w:val="false"/>
      <w:suff w:val="tab"/>
      <w:lvlText w:val="%1."/>
      <w:lvlJc w:val="left"/>
      <w:pPr>
        <w:ind w:left="375" w:hanging="375"/>
      </w:pPr>
      <w:rPr>
        <w:sz w:val="24"/>
        <w:szCs w:val="24"/>
      </w:rPr>
    </w:lvl>
    <w:lvl w:ilvl="1">
      <w:start w:val="10"/>
      <w:numFmt w:val="decimal"/>
      <w:isLgl w:val="false"/>
      <w:suff w:val="tab"/>
      <w:lvlText w:val="%1.%2"/>
      <w:lvlJc w:val="left"/>
      <w:pPr>
        <w:ind w:left="1084" w:hanging="375"/>
      </w:pPr>
    </w:lvl>
    <w:lvl w:ilvl="2">
      <w:start w:val="10"/>
      <w:numFmt w:val="decimal"/>
      <w:isLgl w:val="false"/>
      <w:suff w:val="tab"/>
      <w:lvlText w:val="6.10.%3."/>
      <w:lvlJc w:val="left"/>
      <w:pPr>
        <w:ind w:left="1571" w:hanging="720"/>
      </w:pPr>
      <w:rPr>
        <w:b w:val="0"/>
      </w:r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832" w:hanging="2160"/>
      </w:pPr>
    </w:lvl>
  </w:abstractNum>
  <w:abstractNum w:abstractNumId="107">
    <w:multiLevelType w:val="hybridMultilevel"/>
    <w:lvl w:ilvl="0">
      <w:start w:val="11"/>
      <w:numFmt w:val="decimal"/>
      <w:isLgl w:val="false"/>
      <w:suff w:val="tab"/>
      <w:lvlText w:val="%1."/>
      <w:lvlJc w:val="left"/>
      <w:pPr>
        <w:ind w:left="825" w:hanging="825"/>
      </w:pPr>
    </w:lvl>
    <w:lvl w:ilvl="1">
      <w:start w:val="3"/>
      <w:numFmt w:val="decimal"/>
      <w:isLgl w:val="false"/>
      <w:suff w:val="tab"/>
      <w:lvlText w:val="12.%2."/>
      <w:lvlJc w:val="left"/>
      <w:pPr>
        <w:ind w:left="1179" w:hanging="825"/>
      </w:pPr>
      <w:rPr>
        <w:b/>
        <w:sz w:val="24"/>
        <w:szCs w:val="24"/>
      </w:rPr>
    </w:lvl>
    <w:lvl w:ilvl="2">
      <w:start w:val="1"/>
      <w:numFmt w:val="decimal"/>
      <w:isLgl w:val="false"/>
      <w:suff w:val="tab"/>
      <w:lvlText w:val="12.3.%3."/>
      <w:lvlJc w:val="left"/>
      <w:pPr>
        <w:ind w:left="1533" w:hanging="825"/>
      </w:pPr>
      <w:rPr>
        <w:b w:val="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108">
    <w:multiLevelType w:val="hybridMultilevel"/>
    <w:lvl w:ilvl="0">
      <w:start w:val="18"/>
      <w:numFmt w:val="decimal"/>
      <w:isLgl w:val="false"/>
      <w:suff w:val="tab"/>
      <w:lvlText w:val="11.%1."/>
      <w:lvlJc w:val="left"/>
      <w:pPr>
        <w:ind w:left="1571"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9">
    <w:multiLevelType w:val="hybridMultilevel"/>
    <w:lvl w:ilvl="0">
      <w:start w:val="1"/>
      <w:numFmt w:val="decimal"/>
      <w:pStyle w:val="1238"/>
      <w:isLgl w:val="false"/>
      <w:suff w:val="tab"/>
      <w:lvlText w:val="%1."/>
      <w:lvlJc w:val="left"/>
      <w:pPr>
        <w:ind w:left="900" w:hanging="360"/>
      </w:pPr>
      <w:rPr>
        <w:rFonts w:cs="Times New Roman"/>
      </w:rPr>
    </w:lvl>
    <w:lvl w:ilvl="1">
      <w:start w:val="1"/>
      <w:numFmt w:val="decimal"/>
      <w:isLgl w:val="false"/>
      <w:suff w:val="tab"/>
      <w:lvlText w:val="%1.%2."/>
      <w:lvlJc w:val="left"/>
      <w:pPr>
        <w:ind w:left="900" w:hanging="360"/>
      </w:pPr>
      <w:rPr>
        <w:rFonts w:cs="Times New Roman"/>
      </w:rPr>
    </w:lvl>
    <w:lvl w:ilvl="2">
      <w:start w:val="1"/>
      <w:numFmt w:val="decimal"/>
      <w:isLgl w:val="false"/>
      <w:suff w:val="tab"/>
      <w:lvlText w:val="%1.%2.%3."/>
      <w:lvlJc w:val="left"/>
      <w:pPr>
        <w:ind w:left="1260" w:hanging="720"/>
      </w:pPr>
      <w:rPr>
        <w:rFonts w:cs="Times New Roman"/>
      </w:rPr>
    </w:lvl>
    <w:lvl w:ilvl="3">
      <w:start w:val="1"/>
      <w:numFmt w:val="decimal"/>
      <w:isLgl w:val="false"/>
      <w:suff w:val="tab"/>
      <w:lvlText w:val="%1.%2.%3.%4."/>
      <w:lvlJc w:val="left"/>
      <w:pPr>
        <w:ind w:left="1260" w:hanging="720"/>
      </w:pPr>
      <w:rPr>
        <w:rFonts w:cs="Times New Roman"/>
      </w:rPr>
    </w:lvl>
    <w:lvl w:ilvl="4">
      <w:start w:val="1"/>
      <w:numFmt w:val="decimal"/>
      <w:isLgl w:val="false"/>
      <w:suff w:val="tab"/>
      <w:lvlText w:val="%1.%2.%3.%4.%5."/>
      <w:lvlJc w:val="left"/>
      <w:pPr>
        <w:ind w:left="1620" w:hanging="1080"/>
      </w:pPr>
      <w:rPr>
        <w:rFonts w:cs="Times New Roman"/>
      </w:rPr>
    </w:lvl>
    <w:lvl w:ilvl="5">
      <w:start w:val="1"/>
      <w:numFmt w:val="decimal"/>
      <w:isLgl w:val="false"/>
      <w:suff w:val="tab"/>
      <w:lvlText w:val="%1.%2.%3.%4.%5.%6."/>
      <w:lvlJc w:val="left"/>
      <w:pPr>
        <w:ind w:left="1620" w:hanging="1080"/>
      </w:pPr>
      <w:rPr>
        <w:rFonts w:cs="Times New Roman"/>
      </w:rPr>
    </w:lvl>
    <w:lvl w:ilvl="6">
      <w:start w:val="1"/>
      <w:numFmt w:val="decimal"/>
      <w:isLgl w:val="false"/>
      <w:suff w:val="tab"/>
      <w:lvlText w:val="%1.%2.%3.%4.%5.%6.%7."/>
      <w:lvlJc w:val="left"/>
      <w:pPr>
        <w:ind w:left="1980" w:hanging="1440"/>
      </w:pPr>
      <w:rPr>
        <w:rFonts w:cs="Times New Roman"/>
      </w:rPr>
    </w:lvl>
    <w:lvl w:ilvl="7">
      <w:start w:val="1"/>
      <w:numFmt w:val="decimal"/>
      <w:isLgl w:val="false"/>
      <w:suff w:val="tab"/>
      <w:lvlText w:val="%1.%2.%3.%4.%5.%6.%7.%8."/>
      <w:lvlJc w:val="left"/>
      <w:pPr>
        <w:ind w:left="1980" w:hanging="1440"/>
      </w:pPr>
      <w:rPr>
        <w:rFonts w:cs="Times New Roman"/>
      </w:rPr>
    </w:lvl>
    <w:lvl w:ilvl="8">
      <w:start w:val="1"/>
      <w:numFmt w:val="decimal"/>
      <w:isLgl w:val="false"/>
      <w:suff w:val="tab"/>
      <w:lvlText w:val="%1.%2.%3.%4.%5.%6.%7.%8.%9."/>
      <w:lvlJc w:val="left"/>
      <w:pPr>
        <w:ind w:left="2340" w:hanging="1800"/>
      </w:pPr>
      <w:rPr>
        <w:rFonts w:cs="Times New Roman"/>
      </w:rPr>
    </w:lvl>
  </w:abstractNum>
  <w:abstractNum w:abstractNumId="110">
    <w:multiLevelType w:val="hybridMultilevel"/>
    <w:lvl w:ilvl="0">
      <w:start w:val="13"/>
      <w:numFmt w:val="decimal"/>
      <w:isLgl w:val="false"/>
      <w:suff w:val="tab"/>
      <w:lvlText w:val="%1."/>
      <w:lvlJc w:val="left"/>
      <w:pPr>
        <w:ind w:left="825" w:hanging="825"/>
      </w:pPr>
    </w:lvl>
    <w:lvl w:ilvl="1">
      <w:start w:val="1"/>
      <w:numFmt w:val="decimal"/>
      <w:isLgl w:val="false"/>
      <w:suff w:val="tab"/>
      <w:lvlText w:val="%1.%2."/>
      <w:lvlJc w:val="left"/>
      <w:pPr>
        <w:ind w:left="1392" w:hanging="825"/>
      </w:pPr>
    </w:lvl>
    <w:lvl w:ilvl="2">
      <w:start w:val="1"/>
      <w:numFmt w:val="decimal"/>
      <w:isLgl w:val="false"/>
      <w:suff w:val="tab"/>
      <w:lvlText w:val="%1.%2.%3."/>
      <w:lvlJc w:val="left"/>
      <w:pPr>
        <w:ind w:left="1959" w:hanging="825"/>
      </w:pPr>
    </w:lvl>
    <w:lvl w:ilvl="3">
      <w:start w:val="1"/>
      <w:numFmt w:val="decimal"/>
      <w:isLgl w:val="false"/>
      <w:suff w:val="tab"/>
      <w:lvlText w:val="%1.%2.%3.%4."/>
      <w:lvlJc w:val="left"/>
      <w:pPr>
        <w:ind w:left="2781" w:hanging="1080"/>
      </w:pPr>
    </w:lvl>
    <w:lvl w:ilvl="4">
      <w:start w:val="1"/>
      <w:numFmt w:val="decimal"/>
      <w:isLgl w:val="false"/>
      <w:suff w:val="tab"/>
      <w:lvlText w:val="%1.%2.%3.%4.%5."/>
      <w:lvlJc w:val="left"/>
      <w:pPr>
        <w:ind w:left="3348" w:hanging="1080"/>
      </w:pPr>
    </w:lvl>
    <w:lvl w:ilvl="5">
      <w:start w:val="1"/>
      <w:numFmt w:val="decimal"/>
      <w:isLgl w:val="false"/>
      <w:suff w:val="tab"/>
      <w:lvlText w:val="%1.%2.%3.%4.%5.%6."/>
      <w:lvlJc w:val="left"/>
      <w:pPr>
        <w:ind w:left="4275" w:hanging="1440"/>
      </w:pPr>
    </w:lvl>
    <w:lvl w:ilvl="6">
      <w:start w:val="1"/>
      <w:numFmt w:val="decimal"/>
      <w:isLgl w:val="false"/>
      <w:suff w:val="tab"/>
      <w:lvlText w:val="%1.%2.%3.%4.%5.%6.%7."/>
      <w:lvlJc w:val="left"/>
      <w:pPr>
        <w:ind w:left="5202" w:hanging="1800"/>
      </w:pPr>
    </w:lvl>
    <w:lvl w:ilvl="7">
      <w:start w:val="1"/>
      <w:numFmt w:val="decimal"/>
      <w:isLgl w:val="false"/>
      <w:suff w:val="tab"/>
      <w:lvlText w:val="%1.%2.%3.%4.%5.%6.%7.%8."/>
      <w:lvlJc w:val="left"/>
      <w:pPr>
        <w:ind w:left="5769" w:hanging="1800"/>
      </w:pPr>
    </w:lvl>
    <w:lvl w:ilvl="8">
      <w:start w:val="1"/>
      <w:numFmt w:val="decimal"/>
      <w:isLgl w:val="false"/>
      <w:suff w:val="tab"/>
      <w:lvlText w:val="%1.%2.%3.%4.%5.%6.%7.%8.%9."/>
      <w:lvlJc w:val="left"/>
      <w:pPr>
        <w:ind w:left="6696" w:hanging="2160"/>
      </w:pPr>
    </w:lvl>
  </w:abstractNum>
  <w:abstractNum w:abstractNumId="111">
    <w:multiLevelType w:val="hybridMultilevel"/>
    <w:lvl w:ilvl="0">
      <w:start w:val="1"/>
      <w:numFmt w:val="decimal"/>
      <w:isLgl w:val="false"/>
      <w:suff w:val="tab"/>
      <w:lvlText w:val="4.2.1.%1."/>
      <w:lvlJc w:val="left"/>
      <w:pPr>
        <w:ind w:left="1429"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2">
    <w:multiLevelType w:val="hybridMultilevel"/>
    <w:lvl w:ilvl="0">
      <w:start w:val="1"/>
      <w:numFmt w:val="decimal"/>
      <w:isLgl w:val="false"/>
      <w:suff w:val="tab"/>
      <w:lvlText w:val="6.5.%1."/>
      <w:lvlJc w:val="left"/>
      <w:pPr>
        <w:ind w:left="1091" w:hanging="360"/>
      </w:pPr>
    </w:lvl>
    <w:lvl w:ilvl="1">
      <w:start w:val="1"/>
      <w:numFmt w:val="lowerLetter"/>
      <w:isLgl w:val="false"/>
      <w:suff w:val="tab"/>
      <w:lvlText w:val="%2."/>
      <w:lvlJc w:val="left"/>
      <w:pPr>
        <w:ind w:left="1811" w:hanging="360"/>
      </w:pPr>
    </w:lvl>
    <w:lvl w:ilvl="2">
      <w:start w:val="1"/>
      <w:numFmt w:val="lowerRoman"/>
      <w:isLgl w:val="false"/>
      <w:suff w:val="tab"/>
      <w:lvlText w:val="%3."/>
      <w:lvlJc w:val="right"/>
      <w:pPr>
        <w:ind w:left="2531" w:hanging="180"/>
      </w:pPr>
    </w:lvl>
    <w:lvl w:ilvl="3">
      <w:start w:val="1"/>
      <w:numFmt w:val="decimal"/>
      <w:isLgl w:val="false"/>
      <w:suff w:val="tab"/>
      <w:lvlText w:val="%4."/>
      <w:lvlJc w:val="left"/>
      <w:pPr>
        <w:ind w:left="3251" w:hanging="360"/>
      </w:pPr>
    </w:lvl>
    <w:lvl w:ilvl="4">
      <w:start w:val="1"/>
      <w:numFmt w:val="lowerLetter"/>
      <w:isLgl w:val="false"/>
      <w:suff w:val="tab"/>
      <w:lvlText w:val="%5."/>
      <w:lvlJc w:val="left"/>
      <w:pPr>
        <w:ind w:left="3971" w:hanging="360"/>
      </w:pPr>
    </w:lvl>
    <w:lvl w:ilvl="5">
      <w:start w:val="1"/>
      <w:numFmt w:val="lowerRoman"/>
      <w:isLgl w:val="false"/>
      <w:suff w:val="tab"/>
      <w:lvlText w:val="%6."/>
      <w:lvlJc w:val="right"/>
      <w:pPr>
        <w:ind w:left="4691" w:hanging="180"/>
      </w:pPr>
    </w:lvl>
    <w:lvl w:ilvl="6">
      <w:start w:val="1"/>
      <w:numFmt w:val="decimal"/>
      <w:isLgl w:val="false"/>
      <w:suff w:val="tab"/>
      <w:lvlText w:val="%7."/>
      <w:lvlJc w:val="left"/>
      <w:pPr>
        <w:ind w:left="5411" w:hanging="360"/>
      </w:pPr>
    </w:lvl>
    <w:lvl w:ilvl="7">
      <w:start w:val="1"/>
      <w:numFmt w:val="lowerLetter"/>
      <w:isLgl w:val="false"/>
      <w:suff w:val="tab"/>
      <w:lvlText w:val="%8."/>
      <w:lvlJc w:val="left"/>
      <w:pPr>
        <w:ind w:left="6131" w:hanging="360"/>
      </w:pPr>
    </w:lvl>
    <w:lvl w:ilvl="8">
      <w:start w:val="1"/>
      <w:numFmt w:val="lowerRoman"/>
      <w:isLgl w:val="false"/>
      <w:suff w:val="tab"/>
      <w:lvlText w:val="%9."/>
      <w:lvlJc w:val="right"/>
      <w:pPr>
        <w:ind w:left="6851" w:hanging="180"/>
      </w:pPr>
    </w:lvl>
  </w:abstractNum>
  <w:abstractNum w:abstractNumId="113">
    <w:multiLevelType w:val="hybridMultilevel"/>
    <w:lvl w:ilvl="0">
      <w:start w:val="1"/>
      <w:numFmt w:val="decimal"/>
      <w:isLgl w:val="false"/>
      <w:suff w:val="tab"/>
      <w:lvlText w:val="13.1.8.%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4">
    <w:multiLevelType w:val="hybridMultilevel"/>
    <w:lvl w:ilvl="0">
      <w:start w:val="1"/>
      <w:numFmt w:val="decimal"/>
      <w:isLgl w:val="false"/>
      <w:suff w:val="tab"/>
      <w:lvlText w:val="5.7.15.%1."/>
      <w:lvlJc w:val="left"/>
      <w:pPr>
        <w:ind w:left="2138" w:hanging="360"/>
      </w:pPr>
    </w:lvl>
    <w:lvl w:ilvl="1">
      <w:start w:val="1"/>
      <w:numFmt w:val="decimal"/>
      <w:isLgl w:val="false"/>
      <w:suff w:val="tab"/>
      <w:lvlText w:val="6.7.15.%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5">
    <w:multiLevelType w:val="hybridMultilevel"/>
    <w:lvl w:ilvl="0">
      <w:start w:val="6"/>
      <w:numFmt w:val="decimal"/>
      <w:isLgl w:val="false"/>
      <w:suff w:val="tab"/>
      <w:lvlText w:val="%1."/>
      <w:lvlJc w:val="left"/>
      <w:pPr>
        <w:ind w:left="675" w:hanging="675"/>
      </w:pPr>
    </w:lvl>
    <w:lvl w:ilvl="1">
      <w:start w:val="8"/>
      <w:numFmt w:val="decimal"/>
      <w:isLgl w:val="false"/>
      <w:suff w:val="tab"/>
      <w:lvlText w:val="%1.%2."/>
      <w:lvlJc w:val="left"/>
      <w:pPr>
        <w:ind w:left="1074" w:hanging="720"/>
      </w:pPr>
    </w:lvl>
    <w:lvl w:ilvl="2">
      <w:start w:val="1"/>
      <w:numFmt w:val="decimal"/>
      <w:isLgl w:val="false"/>
      <w:suff w:val="tab"/>
      <w:lvlText w:val="6.8.%3."/>
      <w:lvlJc w:val="left"/>
      <w:pPr>
        <w:ind w:left="1428" w:hanging="720"/>
      </w:pPr>
      <w:rPr>
        <w:b w:val="0"/>
        <w:strike w:val="0"/>
        <w:color w:val="00000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924" w:hanging="180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992" w:hanging="2160"/>
      </w:pPr>
    </w:lvl>
  </w:abstractNum>
  <w:abstractNum w:abstractNumId="116">
    <w:multiLevelType w:val="hybridMultilevel"/>
    <w:lvl w:ilvl="0">
      <w:start w:val="1"/>
      <w:numFmt w:val="bullet"/>
      <w:isLgl w:val="false"/>
      <w:suff w:val="tab"/>
      <w:lvlText w:val=""/>
      <w:lvlJc w:val="left"/>
      <w:pPr>
        <w:ind w:left="720" w:hanging="360"/>
        <w:tabs>
          <w:tab w:val="num" w:pos="720" w:leader="none"/>
        </w:tabs>
      </w:pPr>
      <w:rPr>
        <w:rFonts w:ascii="Symbol" w:hAnsi="Symbol"/>
        <w:color w:val="000000"/>
        <w:sz w:val="20"/>
      </w:rPr>
    </w:lvl>
    <w:lvl w:ilvl="1">
      <w:start w:val="1"/>
      <w:numFmt w:val="bullet"/>
      <w:isLgl w:val="false"/>
      <w:suff w:val="tab"/>
      <w:lvlText w:val=""/>
      <w:lvlJc w:val="left"/>
      <w:pPr>
        <w:ind w:left="1440" w:hanging="360"/>
        <w:tabs>
          <w:tab w:val="num" w:pos="1440" w:leader="none"/>
        </w:tabs>
      </w:pPr>
      <w:rPr>
        <w:rFonts w:ascii="Symbol" w:hAnsi="Symbol"/>
        <w:color w:val="000000"/>
        <w:sz w:val="20"/>
      </w:rPr>
    </w:lvl>
    <w:lvl w:ilvl="2">
      <w:start w:val="1"/>
      <w:numFmt w:val="bullet"/>
      <w:isLgl w:val="false"/>
      <w:suff w:val="tab"/>
      <w:lvlText w:val=""/>
      <w:lvlJc w:val="left"/>
      <w:pPr>
        <w:ind w:left="2160" w:hanging="360"/>
        <w:tabs>
          <w:tab w:val="num" w:pos="2160" w:leader="none"/>
        </w:tabs>
      </w:pPr>
      <w:rPr>
        <w:rFonts w:ascii="Wingdings" w:hAnsi="Wingdings"/>
        <w:sz w:val="20"/>
      </w:rPr>
    </w:lvl>
    <w:lvl w:ilvl="3">
      <w:start w:val="1"/>
      <w:numFmt w:val="decimal"/>
      <w:isLgl w:val="false"/>
      <w:suff w:val="tab"/>
      <w:lvlText w:val="%45."/>
      <w:lvlJc w:val="left"/>
      <w:pPr>
        <w:ind w:left="2880" w:hanging="360"/>
      </w:pPr>
      <w:rPr>
        <w:b/>
        <w:i w:val="0"/>
      </w:rPr>
    </w:lvl>
    <w:lvl w:ilvl="4">
      <w:start w:val="1"/>
      <w:numFmt w:val="decimal"/>
      <w:isLgl w:val="false"/>
      <w:suff w:val="tab"/>
      <w:lvlText w:val="%5."/>
      <w:lvlJc w:val="left"/>
      <w:pPr>
        <w:ind w:left="3600" w:hanging="360"/>
      </w:pPr>
    </w:lvl>
    <w:lvl w:ilvl="5">
      <w:start w:val="1"/>
      <w:numFmt w:val="bullet"/>
      <w:isLgl w:val="false"/>
      <w:suff w:val="tab"/>
      <w:lvlText w:val=""/>
      <w:lvlJc w:val="left"/>
      <w:pPr>
        <w:ind w:left="4320" w:hanging="360"/>
        <w:tabs>
          <w:tab w:val="num" w:pos="4320" w:leader="none"/>
        </w:tabs>
      </w:pPr>
      <w:rPr>
        <w:rFonts w:ascii="Wingdings" w:hAnsi="Wingdings"/>
        <w:sz w:val="20"/>
      </w:rPr>
    </w:lvl>
    <w:lvl w:ilvl="6">
      <w:start w:val="1"/>
      <w:numFmt w:val="bullet"/>
      <w:isLgl w:val="false"/>
      <w:suff w:val="tab"/>
      <w:lvlText w:val=""/>
      <w:lvlJc w:val="left"/>
      <w:pPr>
        <w:ind w:left="5040" w:hanging="360"/>
        <w:tabs>
          <w:tab w:val="num" w:pos="5040" w:leader="none"/>
        </w:tabs>
      </w:pPr>
      <w:rPr>
        <w:rFonts w:ascii="Wingdings" w:hAnsi="Wingdings"/>
        <w:sz w:val="20"/>
      </w:rPr>
    </w:lvl>
    <w:lvl w:ilvl="7">
      <w:start w:val="1"/>
      <w:numFmt w:val="bullet"/>
      <w:isLgl w:val="false"/>
      <w:suff w:val="tab"/>
      <w:lvlText w:val=""/>
      <w:lvlJc w:val="left"/>
      <w:pPr>
        <w:ind w:left="5760" w:hanging="360"/>
        <w:tabs>
          <w:tab w:val="num" w:pos="5760" w:leader="none"/>
        </w:tabs>
      </w:pPr>
      <w:rPr>
        <w:rFonts w:ascii="Wingdings" w:hAnsi="Wingdings"/>
        <w:sz w:val="20"/>
      </w:rPr>
    </w:lvl>
    <w:lvl w:ilvl="8">
      <w:start w:val="1"/>
      <w:numFmt w:val="bullet"/>
      <w:isLgl w:val="false"/>
      <w:suff w:val="tab"/>
      <w:lvlText w:val=""/>
      <w:lvlJc w:val="left"/>
      <w:pPr>
        <w:ind w:left="6480" w:hanging="360"/>
        <w:tabs>
          <w:tab w:val="num" w:pos="6480" w:leader="none"/>
        </w:tabs>
      </w:pPr>
      <w:rPr>
        <w:rFonts w:ascii="Wingdings" w:hAnsi="Wingdings"/>
        <w:sz w:val="20"/>
      </w:rPr>
    </w:lvl>
  </w:abstractNum>
  <w:abstractNum w:abstractNumId="117">
    <w:multiLevelType w:val="hybridMultilevel"/>
    <w:lvl w:ilvl="0">
      <w:start w:val="6"/>
      <w:numFmt w:val="decimal"/>
      <w:isLgl w:val="false"/>
      <w:suff w:val="tab"/>
      <w:lvlText w:val="%1."/>
      <w:lvlJc w:val="left"/>
      <w:pPr>
        <w:ind w:left="375" w:hanging="375"/>
      </w:pPr>
      <w:rPr>
        <w:sz w:val="24"/>
        <w:szCs w:val="24"/>
      </w:rPr>
    </w:lvl>
    <w:lvl w:ilvl="1">
      <w:start w:val="2"/>
      <w:numFmt w:val="decimal"/>
      <w:isLgl w:val="false"/>
      <w:suff w:val="tab"/>
      <w:lvlText w:val="7.%2."/>
      <w:lvlJc w:val="left"/>
      <w:pPr>
        <w:ind w:left="1226" w:hanging="375"/>
      </w:pPr>
      <w:rPr>
        <w:sz w:val="28"/>
        <w:szCs w:val="28"/>
      </w:rPr>
    </w:lvl>
    <w:lvl w:ilvl="2">
      <w:start w:val="1"/>
      <w:numFmt w:val="decimal"/>
      <w:isLgl w:val="false"/>
      <w:suff w:val="tab"/>
      <w:lvlText w:val="%1.%2.%3"/>
      <w:lvlJc w:val="left"/>
      <w:pPr>
        <w:ind w:left="2422" w:hanging="720"/>
      </w:pPr>
      <w:rPr>
        <w:rFonts w:cs="Times New Roman"/>
      </w:rPr>
    </w:lvl>
    <w:lvl w:ilvl="3">
      <w:start w:val="1"/>
      <w:numFmt w:val="decimal"/>
      <w:isLgl w:val="false"/>
      <w:suff w:val="tab"/>
      <w:lvlText w:val="%1.%2.%3.%4"/>
      <w:lvlJc w:val="left"/>
      <w:pPr>
        <w:ind w:left="3633" w:hanging="1080"/>
      </w:pPr>
      <w:rPr>
        <w:rFonts w:cs="Times New Roman"/>
      </w:rPr>
    </w:lvl>
    <w:lvl w:ilvl="4">
      <w:start w:val="1"/>
      <w:numFmt w:val="decimal"/>
      <w:isLgl w:val="false"/>
      <w:suff w:val="tab"/>
      <w:lvlText w:val="%1.%2.%3.%4.%5"/>
      <w:lvlJc w:val="left"/>
      <w:pPr>
        <w:ind w:left="4484" w:hanging="1080"/>
      </w:pPr>
      <w:rPr>
        <w:rFonts w:cs="Times New Roman"/>
      </w:rPr>
    </w:lvl>
    <w:lvl w:ilvl="5">
      <w:start w:val="1"/>
      <w:numFmt w:val="decimal"/>
      <w:isLgl w:val="false"/>
      <w:suff w:val="tab"/>
      <w:lvlText w:val="%1.%2.%3.%4.%5.%6"/>
      <w:lvlJc w:val="left"/>
      <w:pPr>
        <w:ind w:left="5695" w:hanging="1440"/>
      </w:pPr>
      <w:rPr>
        <w:rFonts w:cs="Times New Roman"/>
      </w:rPr>
    </w:lvl>
    <w:lvl w:ilvl="6">
      <w:start w:val="1"/>
      <w:numFmt w:val="decimal"/>
      <w:isLgl w:val="false"/>
      <w:suff w:val="tab"/>
      <w:lvlText w:val="%1.%2.%3.%4.%5.%6.%7"/>
      <w:lvlJc w:val="left"/>
      <w:pPr>
        <w:ind w:left="6546" w:hanging="1440"/>
      </w:pPr>
      <w:rPr>
        <w:rFonts w:cs="Times New Roman"/>
      </w:rPr>
    </w:lvl>
    <w:lvl w:ilvl="7">
      <w:start w:val="1"/>
      <w:numFmt w:val="decimal"/>
      <w:isLgl w:val="false"/>
      <w:suff w:val="tab"/>
      <w:lvlText w:val="%1.%2.%3.%4.%5.%6.%7.%8"/>
      <w:lvlJc w:val="left"/>
      <w:pPr>
        <w:ind w:left="7757" w:hanging="1800"/>
      </w:pPr>
      <w:rPr>
        <w:rFonts w:cs="Times New Roman"/>
      </w:rPr>
    </w:lvl>
    <w:lvl w:ilvl="8">
      <w:start w:val="1"/>
      <w:numFmt w:val="decimal"/>
      <w:isLgl w:val="false"/>
      <w:suff w:val="tab"/>
      <w:lvlText w:val="%1.%2.%3.%4.%5.%6.%7.%8.%9"/>
      <w:lvlJc w:val="left"/>
      <w:pPr>
        <w:ind w:left="8968" w:hanging="2160"/>
      </w:pPr>
      <w:rPr>
        <w:rFonts w:cs="Times New Roman"/>
      </w:rPr>
    </w:lvl>
  </w:abstractNum>
  <w:abstractNum w:abstractNumId="118">
    <w:multiLevelType w:val="hybridMultilevel"/>
    <w:lvl w:ilvl="0">
      <w:start w:val="7"/>
      <w:numFmt w:val="decimal"/>
      <w:isLgl w:val="false"/>
      <w:suff w:val="tab"/>
      <w:lvlText w:val="6.10.%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34"/>
  </w:num>
  <w:num w:numId="2">
    <w:abstractNumId w:val="72"/>
  </w:num>
  <w:num w:numId="3">
    <w:abstractNumId w:val="42"/>
  </w:num>
  <w:num w:numId="4">
    <w:abstractNumId w:val="4"/>
  </w:num>
  <w:num w:numId="5">
    <w:abstractNumId w:val="109"/>
  </w:num>
  <w:num w:numId="6">
    <w:abstractNumId w:val="3"/>
  </w:num>
  <w:num w:numId="7">
    <w:abstractNumId w:val="66"/>
  </w:num>
  <w:num w:numId="8">
    <w:abstractNumId w:val="44"/>
  </w:num>
  <w:num w:numId="9">
    <w:abstractNumId w:val="86"/>
  </w:num>
  <w:num w:numId="10">
    <w:abstractNumId w:val="104"/>
  </w:num>
  <w:num w:numId="11">
    <w:abstractNumId w:val="85"/>
  </w:num>
  <w:num w:numId="12">
    <w:abstractNumId w:val="54"/>
  </w:num>
  <w:num w:numId="13">
    <w:abstractNumId w:val="75"/>
  </w:num>
  <w:num w:numId="14">
    <w:abstractNumId w:val="16"/>
  </w:num>
  <w:num w:numId="15">
    <w:abstractNumId w:val="115"/>
  </w:num>
  <w:num w:numId="16">
    <w:abstractNumId w:val="48"/>
  </w:num>
  <w:num w:numId="17">
    <w:abstractNumId w:val="117"/>
  </w:num>
  <w:num w:numId="18">
    <w:abstractNumId w:val="81"/>
  </w:num>
  <w:num w:numId="19">
    <w:abstractNumId w:val="14"/>
  </w:num>
  <w:num w:numId="20">
    <w:abstractNumId w:val="69"/>
  </w:num>
  <w:num w:numId="21">
    <w:abstractNumId w:val="116"/>
  </w:num>
  <w:num w:numId="22">
    <w:abstractNumId w:val="106"/>
  </w:num>
  <w:num w:numId="23">
    <w:abstractNumId w:val="92"/>
  </w:num>
  <w:num w:numId="24">
    <w:abstractNumId w:val="78"/>
  </w:num>
  <w:num w:numId="25">
    <w:abstractNumId w:val="27"/>
  </w:num>
  <w:num w:numId="26">
    <w:abstractNumId w:val="79"/>
  </w:num>
  <w:num w:numId="27">
    <w:abstractNumId w:val="12"/>
  </w:num>
  <w:num w:numId="28">
    <w:abstractNumId w:val="8"/>
  </w:num>
  <w:num w:numId="29">
    <w:abstractNumId w:val="105"/>
  </w:num>
  <w:num w:numId="30">
    <w:abstractNumId w:val="37"/>
  </w:num>
  <w:num w:numId="31">
    <w:abstractNumId w:val="110"/>
  </w:num>
  <w:num w:numId="32">
    <w:abstractNumId w:val="9"/>
  </w:num>
  <w:num w:numId="33">
    <w:abstractNumId w:val="15"/>
  </w:num>
  <w:num w:numId="34">
    <w:abstractNumId w:val="25"/>
  </w:num>
  <w:num w:numId="35">
    <w:abstractNumId w:val="36"/>
  </w:num>
  <w:num w:numId="36">
    <w:abstractNumId w:val="28"/>
  </w:num>
  <w:num w:numId="37">
    <w:abstractNumId w:val="108"/>
  </w:num>
  <w:num w:numId="38">
    <w:abstractNumId w:val="71"/>
  </w:num>
  <w:num w:numId="39">
    <w:abstractNumId w:val="73"/>
  </w:num>
  <w:num w:numId="40">
    <w:abstractNumId w:val="61"/>
  </w:num>
  <w:num w:numId="41">
    <w:abstractNumId w:val="59"/>
  </w:num>
  <w:num w:numId="42">
    <w:abstractNumId w:val="43"/>
  </w:num>
  <w:num w:numId="43">
    <w:abstractNumId w:val="21"/>
  </w:num>
  <w:num w:numId="44">
    <w:abstractNumId w:val="80"/>
  </w:num>
  <w:num w:numId="45">
    <w:abstractNumId w:val="118"/>
  </w:num>
  <w:num w:numId="46">
    <w:abstractNumId w:val="111"/>
  </w:num>
  <w:num w:numId="47">
    <w:abstractNumId w:val="95"/>
  </w:num>
  <w:num w:numId="48">
    <w:abstractNumId w:val="99"/>
  </w:num>
  <w:num w:numId="49">
    <w:abstractNumId w:val="18"/>
  </w:num>
  <w:num w:numId="50">
    <w:abstractNumId w:val="11"/>
  </w:num>
  <w:num w:numId="51">
    <w:abstractNumId w:val="70"/>
  </w:num>
  <w:num w:numId="52">
    <w:abstractNumId w:val="89"/>
  </w:num>
  <w:num w:numId="53">
    <w:abstractNumId w:val="76"/>
  </w:num>
  <w:num w:numId="54">
    <w:abstractNumId w:val="84"/>
  </w:num>
  <w:num w:numId="55">
    <w:abstractNumId w:val="62"/>
  </w:num>
  <w:num w:numId="56">
    <w:abstractNumId w:val="41"/>
  </w:num>
  <w:num w:numId="57">
    <w:abstractNumId w:val="91"/>
  </w:num>
  <w:num w:numId="58">
    <w:abstractNumId w:val="101"/>
  </w:num>
  <w:num w:numId="59">
    <w:abstractNumId w:val="31"/>
  </w:num>
  <w:num w:numId="60">
    <w:abstractNumId w:val="67"/>
  </w:num>
  <w:num w:numId="61">
    <w:abstractNumId w:val="39"/>
  </w:num>
  <w:num w:numId="62">
    <w:abstractNumId w:val="22"/>
  </w:num>
  <w:num w:numId="63">
    <w:abstractNumId w:val="114"/>
  </w:num>
  <w:num w:numId="64">
    <w:abstractNumId w:val="26"/>
  </w:num>
  <w:num w:numId="65">
    <w:abstractNumId w:val="35"/>
  </w:num>
  <w:num w:numId="66">
    <w:abstractNumId w:val="45"/>
  </w:num>
  <w:num w:numId="67">
    <w:abstractNumId w:val="13"/>
  </w:num>
  <w:num w:numId="68">
    <w:abstractNumId w:val="24"/>
  </w:num>
  <w:num w:numId="69">
    <w:abstractNumId w:val="65"/>
  </w:num>
  <w:num w:numId="70">
    <w:abstractNumId w:val="58"/>
  </w:num>
  <w:num w:numId="71">
    <w:abstractNumId w:val="33"/>
  </w:num>
  <w:num w:numId="72">
    <w:abstractNumId w:val="2"/>
  </w:num>
  <w:num w:numId="73">
    <w:abstractNumId w:val="82"/>
  </w:num>
  <w:num w:numId="74">
    <w:abstractNumId w:val="5"/>
  </w:num>
  <w:num w:numId="75">
    <w:abstractNumId w:val="100"/>
  </w:num>
  <w:num w:numId="76">
    <w:abstractNumId w:val="19"/>
  </w:num>
  <w:num w:numId="77">
    <w:abstractNumId w:val="113"/>
  </w:num>
  <w:num w:numId="78">
    <w:abstractNumId w:val="56"/>
  </w:num>
  <w:num w:numId="79">
    <w:abstractNumId w:val="96"/>
  </w:num>
  <w:num w:numId="80">
    <w:abstractNumId w:val="74"/>
  </w:num>
  <w:num w:numId="81">
    <w:abstractNumId w:val="23"/>
  </w:num>
  <w:num w:numId="82">
    <w:abstractNumId w:val="51"/>
  </w:num>
  <w:num w:numId="83">
    <w:abstractNumId w:val="87"/>
  </w:num>
  <w:num w:numId="84">
    <w:abstractNumId w:val="55"/>
  </w:num>
  <w:num w:numId="85">
    <w:abstractNumId w:val="6"/>
  </w:num>
  <w:num w:numId="86">
    <w:abstractNumId w:val="103"/>
  </w:num>
  <w:num w:numId="87">
    <w:abstractNumId w:val="46"/>
  </w:num>
  <w:num w:numId="88">
    <w:abstractNumId w:val="49"/>
  </w:num>
  <w:num w:numId="89">
    <w:abstractNumId w:val="88"/>
  </w:num>
  <w:num w:numId="90">
    <w:abstractNumId w:val="97"/>
  </w:num>
  <w:num w:numId="91">
    <w:abstractNumId w:val="52"/>
  </w:num>
  <w:num w:numId="92">
    <w:abstractNumId w:val="10"/>
  </w:num>
  <w:num w:numId="93">
    <w:abstractNumId w:val="102"/>
  </w:num>
  <w:num w:numId="94">
    <w:abstractNumId w:val="68"/>
  </w:num>
  <w:num w:numId="95">
    <w:abstractNumId w:val="60"/>
  </w:num>
  <w:num w:numId="96">
    <w:abstractNumId w:val="1"/>
  </w:num>
  <w:num w:numId="97">
    <w:abstractNumId w:val="77"/>
  </w:num>
  <w:num w:numId="98">
    <w:abstractNumId w:val="90"/>
  </w:num>
  <w:num w:numId="99">
    <w:abstractNumId w:val="32"/>
  </w:num>
  <w:num w:numId="100">
    <w:abstractNumId w:val="40"/>
  </w:num>
  <w:num w:numId="101">
    <w:abstractNumId w:val="38"/>
  </w:num>
  <w:num w:numId="102">
    <w:abstractNumId w:val="112"/>
  </w:num>
  <w:num w:numId="103">
    <w:abstractNumId w:val="20"/>
  </w:num>
  <w:num w:numId="104">
    <w:abstractNumId w:val="50"/>
  </w:num>
  <w:num w:numId="105">
    <w:abstractNumId w:val="57"/>
  </w:num>
  <w:num w:numId="106">
    <w:abstractNumId w:val="29"/>
  </w:num>
  <w:num w:numId="107">
    <w:abstractNumId w:val="93"/>
  </w:num>
  <w:num w:numId="108">
    <w:abstractNumId w:val="7"/>
  </w:num>
  <w:num w:numId="109">
    <w:abstractNumId w:val="17"/>
  </w:num>
  <w:num w:numId="110">
    <w:abstractNumId w:val="63"/>
  </w:num>
  <w:num w:numId="111">
    <w:abstractNumId w:val="53"/>
  </w:num>
  <w:num w:numId="112">
    <w:abstractNumId w:val="107"/>
  </w:num>
  <w:num w:numId="113">
    <w:abstractNumId w:val="94"/>
  </w:num>
  <w:num w:numId="114">
    <w:abstractNumId w:val="83"/>
  </w:num>
  <w:num w:numId="115">
    <w:abstractNumId w:val="47"/>
  </w:num>
  <w:num w:numId="116">
    <w:abstractNumId w:val="30"/>
  </w:num>
  <w:num w:numId="117">
    <w:abstractNumId w:val="64"/>
  </w:num>
  <w:num w:numId="118">
    <w:abstractNumId w:val="98"/>
  </w:num>
  <w:num w:numId="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evenAndOddHeader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43">
    <w:name w:val="Header Char"/>
    <w:basedOn w:val="957"/>
    <w:link w:val="979"/>
    <w:uiPriority w:val="99"/>
  </w:style>
  <w:style w:type="character" w:styleId="47">
    <w:name w:val="Caption Char"/>
    <w:basedOn w:val="957"/>
    <w:link w:val="983"/>
    <w:uiPriority w:val="35"/>
    <w:rPr>
      <w:b/>
      <w:bCs/>
      <w:color w:val="4f81bd" w:themeColor="accent1"/>
      <w:sz w:val="18"/>
      <w:szCs w:val="18"/>
    </w:rPr>
  </w:style>
  <w:style w:type="paragraph" w:styleId="947" w:default="1">
    <w:name w:val="Normal"/>
    <w:qFormat/>
    <w:rPr>
      <w:rFonts w:ascii="Times New Roman" w:hAnsi="Times New Roman"/>
      <w:sz w:val="24"/>
      <w:szCs w:val="24"/>
    </w:rPr>
  </w:style>
  <w:style w:type="paragraph" w:styleId="948">
    <w:name w:val="Heading 1"/>
    <w:basedOn w:val="947"/>
    <w:next w:val="947"/>
    <w:link w:val="1129"/>
    <w:qFormat/>
    <w:pPr>
      <w:jc w:val="center"/>
      <w:keepNext/>
      <w:outlineLvl w:val="0"/>
    </w:pPr>
    <w:rPr>
      <w:sz w:val="32"/>
      <w:szCs w:val="32"/>
    </w:rPr>
  </w:style>
  <w:style w:type="paragraph" w:styleId="949">
    <w:name w:val="Heading 2"/>
    <w:basedOn w:val="947"/>
    <w:next w:val="947"/>
    <w:link w:val="1130"/>
    <w:qFormat/>
    <w:pPr>
      <w:keepNext/>
      <w:spacing w:before="240" w:after="60"/>
      <w:outlineLvl w:val="1"/>
    </w:pPr>
    <w:rPr>
      <w:rFonts w:ascii="Arial" w:hAnsi="Arial"/>
      <w:b/>
      <w:bCs/>
      <w:i/>
      <w:iCs/>
      <w:sz w:val="28"/>
      <w:szCs w:val="28"/>
    </w:rPr>
  </w:style>
  <w:style w:type="paragraph" w:styleId="950">
    <w:name w:val="Heading 3"/>
    <w:basedOn w:val="947"/>
    <w:next w:val="947"/>
    <w:link w:val="1131"/>
    <w:qFormat/>
    <w:pPr>
      <w:keepNext/>
      <w:spacing w:before="240" w:after="60"/>
      <w:outlineLvl w:val="2"/>
    </w:pPr>
    <w:rPr>
      <w:rFonts w:ascii="Arial" w:hAnsi="Arial"/>
      <w:b/>
      <w:bCs/>
      <w:sz w:val="26"/>
      <w:szCs w:val="26"/>
    </w:rPr>
  </w:style>
  <w:style w:type="paragraph" w:styleId="951">
    <w:name w:val="Heading 4"/>
    <w:basedOn w:val="947"/>
    <w:next w:val="947"/>
    <w:link w:val="1132"/>
    <w:qFormat/>
    <w:pPr>
      <w:keepLines/>
      <w:keepNext/>
      <w:spacing w:before="200"/>
      <w:outlineLvl w:val="3"/>
    </w:pPr>
    <w:rPr>
      <w:rFonts w:ascii="Cambria" w:hAnsi="Cambria"/>
      <w:b/>
      <w:bCs/>
      <w:i/>
      <w:iCs/>
      <w:color w:val="4f81bd"/>
      <w:sz w:val="20"/>
      <w:szCs w:val="20"/>
    </w:rPr>
  </w:style>
  <w:style w:type="paragraph" w:styleId="952">
    <w:name w:val="Heading 5"/>
    <w:basedOn w:val="947"/>
    <w:next w:val="947"/>
    <w:link w:val="1133"/>
    <w:qFormat/>
    <w:pPr>
      <w:keepLines/>
      <w:keepNext/>
      <w:spacing w:before="200" w:line="274" w:lineRule="auto"/>
      <w:outlineLvl w:val="4"/>
    </w:pPr>
    <w:rPr>
      <w:rFonts w:ascii="Impact" w:hAnsi="Impact"/>
      <w:color w:val="000000"/>
      <w:sz w:val="20"/>
      <w:szCs w:val="20"/>
    </w:rPr>
  </w:style>
  <w:style w:type="paragraph" w:styleId="953">
    <w:name w:val="Heading 6"/>
    <w:basedOn w:val="947"/>
    <w:next w:val="947"/>
    <w:link w:val="1134"/>
    <w:qFormat/>
    <w:pPr>
      <w:keepLines/>
      <w:keepNext/>
      <w:spacing w:before="200" w:line="274" w:lineRule="auto"/>
      <w:outlineLvl w:val="5"/>
    </w:pPr>
    <w:rPr>
      <w:rFonts w:ascii="Impact" w:hAnsi="Impact"/>
      <w:iCs/>
      <w:color w:val="ad0101"/>
      <w:sz w:val="20"/>
      <w:szCs w:val="20"/>
    </w:rPr>
  </w:style>
  <w:style w:type="paragraph" w:styleId="954">
    <w:name w:val="Heading 7"/>
    <w:basedOn w:val="947"/>
    <w:next w:val="947"/>
    <w:link w:val="1135"/>
    <w:uiPriority w:val="9"/>
    <w:qFormat/>
    <w:pPr>
      <w:keepLines/>
      <w:keepNext/>
      <w:spacing w:before="200" w:line="274" w:lineRule="auto"/>
      <w:outlineLvl w:val="6"/>
    </w:pPr>
    <w:rPr>
      <w:rFonts w:ascii="Impact" w:hAnsi="Impact"/>
      <w:i/>
      <w:iCs/>
      <w:color w:val="000000"/>
      <w:sz w:val="20"/>
      <w:szCs w:val="20"/>
    </w:rPr>
  </w:style>
  <w:style w:type="paragraph" w:styleId="955">
    <w:name w:val="Heading 8"/>
    <w:basedOn w:val="947"/>
    <w:next w:val="947"/>
    <w:link w:val="1136"/>
    <w:qFormat/>
    <w:pPr>
      <w:keepLines/>
      <w:keepNext/>
      <w:spacing w:before="200" w:line="274" w:lineRule="auto"/>
      <w:outlineLvl w:val="7"/>
    </w:pPr>
    <w:rPr>
      <w:rFonts w:ascii="Impact" w:hAnsi="Impact"/>
      <w:color w:val="000000"/>
      <w:sz w:val="20"/>
      <w:szCs w:val="20"/>
    </w:rPr>
  </w:style>
  <w:style w:type="paragraph" w:styleId="956">
    <w:name w:val="Heading 9"/>
    <w:basedOn w:val="947"/>
    <w:next w:val="947"/>
    <w:link w:val="1137"/>
    <w:qFormat/>
    <w:pPr>
      <w:keepLines/>
      <w:keepNext/>
      <w:spacing w:before="200" w:line="274" w:lineRule="auto"/>
      <w:outlineLvl w:val="8"/>
    </w:pPr>
    <w:rPr>
      <w:rFonts w:ascii="Impact" w:hAnsi="Impact"/>
      <w:i/>
      <w:iCs/>
      <w:color w:val="000000"/>
      <w:sz w:val="20"/>
      <w:szCs w:val="20"/>
    </w:rPr>
  </w:style>
  <w:style w:type="character" w:styleId="957" w:default="1">
    <w:name w:val="Default Paragraph Font"/>
    <w:uiPriority w:val="1"/>
    <w:semiHidden/>
    <w:unhideWhenUsed/>
  </w:style>
  <w:style w:type="table" w:styleId="958" w:default="1">
    <w:name w:val="Normal Table"/>
    <w:uiPriority w:val="99"/>
    <w:semiHidden/>
    <w:unhideWhenUsed/>
    <w:tblPr>
      <w:tblInd w:w="0" w:type="dxa"/>
      <w:tblCellMar>
        <w:left w:w="108" w:type="dxa"/>
        <w:top w:w="0" w:type="dxa"/>
        <w:right w:w="108" w:type="dxa"/>
        <w:bottom w:w="0" w:type="dxa"/>
      </w:tblCellMar>
    </w:tblPr>
  </w:style>
  <w:style w:type="numbering" w:styleId="959" w:default="1">
    <w:name w:val="No List"/>
    <w:uiPriority w:val="99"/>
    <w:semiHidden/>
    <w:unhideWhenUsed/>
  </w:style>
  <w:style w:type="character" w:styleId="960" w:customStyle="1">
    <w:name w:val="Heading 1 Char"/>
    <w:uiPriority w:val="9"/>
    <w:rPr>
      <w:rFonts w:ascii="Arial" w:hAnsi="Arial" w:eastAsia="Arial" w:cs="Arial"/>
      <w:sz w:val="40"/>
      <w:szCs w:val="40"/>
    </w:rPr>
  </w:style>
  <w:style w:type="character" w:styleId="961" w:customStyle="1">
    <w:name w:val="Heading 2 Char"/>
    <w:uiPriority w:val="9"/>
    <w:rPr>
      <w:rFonts w:ascii="Arial" w:hAnsi="Arial" w:eastAsia="Arial" w:cs="Arial"/>
      <w:sz w:val="34"/>
    </w:rPr>
  </w:style>
  <w:style w:type="character" w:styleId="962" w:customStyle="1">
    <w:name w:val="Heading 3 Char"/>
    <w:uiPriority w:val="9"/>
    <w:rPr>
      <w:rFonts w:ascii="Arial" w:hAnsi="Arial" w:eastAsia="Arial" w:cs="Arial"/>
      <w:sz w:val="30"/>
      <w:szCs w:val="30"/>
    </w:rPr>
  </w:style>
  <w:style w:type="character" w:styleId="963" w:customStyle="1">
    <w:name w:val="Heading 4 Char"/>
    <w:uiPriority w:val="9"/>
    <w:rPr>
      <w:rFonts w:ascii="Arial" w:hAnsi="Arial" w:eastAsia="Arial" w:cs="Arial"/>
      <w:b/>
      <w:bCs/>
      <w:sz w:val="26"/>
      <w:szCs w:val="26"/>
    </w:rPr>
  </w:style>
  <w:style w:type="character" w:styleId="964" w:customStyle="1">
    <w:name w:val="Heading 5 Char"/>
    <w:uiPriority w:val="9"/>
    <w:rPr>
      <w:rFonts w:ascii="Arial" w:hAnsi="Arial" w:eastAsia="Arial" w:cs="Arial"/>
      <w:b/>
      <w:bCs/>
      <w:sz w:val="24"/>
      <w:szCs w:val="24"/>
    </w:rPr>
  </w:style>
  <w:style w:type="character" w:styleId="965" w:customStyle="1">
    <w:name w:val="Heading 6 Char"/>
    <w:uiPriority w:val="9"/>
    <w:rPr>
      <w:rFonts w:ascii="Arial" w:hAnsi="Arial" w:eastAsia="Arial" w:cs="Arial"/>
      <w:b/>
      <w:bCs/>
      <w:sz w:val="22"/>
      <w:szCs w:val="22"/>
    </w:rPr>
  </w:style>
  <w:style w:type="character" w:styleId="966" w:customStyle="1">
    <w:name w:val="Heading 7 Char"/>
    <w:uiPriority w:val="9"/>
    <w:rPr>
      <w:rFonts w:ascii="Arial" w:hAnsi="Arial" w:eastAsia="Arial" w:cs="Arial"/>
      <w:b/>
      <w:bCs/>
      <w:i/>
      <w:iCs/>
      <w:sz w:val="22"/>
      <w:szCs w:val="22"/>
    </w:rPr>
  </w:style>
  <w:style w:type="character" w:styleId="967" w:customStyle="1">
    <w:name w:val="Heading 8 Char"/>
    <w:uiPriority w:val="9"/>
    <w:rPr>
      <w:rFonts w:ascii="Arial" w:hAnsi="Arial" w:eastAsia="Arial" w:cs="Arial"/>
      <w:i/>
      <w:iCs/>
      <w:sz w:val="22"/>
      <w:szCs w:val="22"/>
    </w:rPr>
  </w:style>
  <w:style w:type="character" w:styleId="968" w:customStyle="1">
    <w:name w:val="Heading 9 Char"/>
    <w:uiPriority w:val="9"/>
    <w:rPr>
      <w:rFonts w:ascii="Arial" w:hAnsi="Arial" w:eastAsia="Arial" w:cs="Arial"/>
      <w:i/>
      <w:iCs/>
      <w:sz w:val="21"/>
      <w:szCs w:val="21"/>
    </w:rPr>
  </w:style>
  <w:style w:type="paragraph" w:styleId="969">
    <w:name w:val="List Paragraph"/>
    <w:basedOn w:val="947"/>
    <w:uiPriority w:val="34"/>
    <w:qFormat/>
    <w:pPr>
      <w:contextualSpacing/>
      <w:ind w:left="720"/>
    </w:pPr>
  </w:style>
  <w:style w:type="paragraph" w:styleId="970">
    <w:name w:val="No Spacing"/>
    <w:link w:val="1212"/>
    <w:uiPriority w:val="1"/>
    <w:qFormat/>
    <w:rPr>
      <w:sz w:val="22"/>
      <w:szCs w:val="22"/>
      <w:lang w:eastAsia="en-US"/>
    </w:rPr>
  </w:style>
  <w:style w:type="paragraph" w:styleId="971">
    <w:name w:val="Title"/>
    <w:basedOn w:val="947"/>
    <w:link w:val="1208"/>
    <w:qFormat/>
    <w:pPr>
      <w:ind w:right="86"/>
      <w:jc w:val="center"/>
      <w:spacing w:line="317" w:lineRule="exact"/>
      <w:shd w:val="clear" w:color="auto" w:fill="ffffff"/>
      <w:widowControl w:val="off"/>
    </w:pPr>
    <w:rPr>
      <w:color w:val="000000"/>
      <w:spacing w:val="2"/>
      <w:sz w:val="30"/>
      <w:szCs w:val="30"/>
    </w:rPr>
  </w:style>
  <w:style w:type="character" w:styleId="972" w:customStyle="1">
    <w:name w:val="Title Char"/>
    <w:uiPriority w:val="10"/>
    <w:rPr>
      <w:sz w:val="48"/>
      <w:szCs w:val="48"/>
    </w:rPr>
  </w:style>
  <w:style w:type="paragraph" w:styleId="973">
    <w:name w:val="Subtitle"/>
    <w:basedOn w:val="947"/>
    <w:next w:val="947"/>
    <w:link w:val="1211"/>
    <w:uiPriority w:val="99"/>
    <w:qFormat/>
    <w:pPr>
      <w:numPr>
        <w:ilvl w:val="1"/>
      </w:numPr>
      <w:spacing w:after="180" w:line="274" w:lineRule="auto"/>
    </w:pPr>
    <w:rPr>
      <w:iCs/>
      <w:color w:val="303030"/>
      <w:sz w:val="40"/>
      <w:lang w:bidi="hi-IN"/>
    </w:rPr>
  </w:style>
  <w:style w:type="character" w:styleId="974" w:customStyle="1">
    <w:name w:val="Subtitle Char"/>
    <w:uiPriority w:val="11"/>
    <w:rPr>
      <w:sz w:val="24"/>
      <w:szCs w:val="24"/>
    </w:rPr>
  </w:style>
  <w:style w:type="paragraph" w:styleId="975">
    <w:name w:val="Quote"/>
    <w:basedOn w:val="947"/>
    <w:next w:val="947"/>
    <w:link w:val="1213"/>
    <w:uiPriority w:val="99"/>
    <w:qFormat/>
    <w:pPr>
      <w:jc w:val="center"/>
      <w:spacing w:line="360" w:lineRule="auto"/>
    </w:pPr>
    <w:rPr>
      <w:b/>
      <w:i/>
      <w:iCs/>
      <w:color w:val="ad0101"/>
      <w:sz w:val="26"/>
      <w:szCs w:val="20"/>
      <w:lang w:bidi="hi-IN"/>
    </w:rPr>
  </w:style>
  <w:style w:type="character" w:styleId="976" w:customStyle="1">
    <w:name w:val="Quote Char"/>
    <w:uiPriority w:val="29"/>
    <w:rPr>
      <w:i/>
    </w:rPr>
  </w:style>
  <w:style w:type="paragraph" w:styleId="977">
    <w:name w:val="Intense Quote"/>
    <w:basedOn w:val="947"/>
    <w:next w:val="947"/>
    <w:link w:val="1214"/>
    <w:uiPriority w:val="99"/>
    <w:qFormat/>
    <w:pPr>
      <w:ind w:left="259" w:right="259"/>
      <w:jc w:val="center"/>
      <w:spacing w:before="200" w:line="360" w:lineRule="auto"/>
      <w:shd w:val="clear" w:color="auto" w:fill="ad0101"/>
      <w:pBdr>
        <w:top w:val="single" w:color="AD0101" w:sz="36" w:space="8"/>
        <w:left w:val="single" w:color="AD0101" w:sz="36" w:space="8"/>
        <w:bottom w:val="single" w:color="AD0101" w:sz="36" w:space="8"/>
        <w:right w:val="single" w:color="AD0101" w:sz="36" w:space="8"/>
      </w:pBdr>
    </w:pPr>
    <w:rPr>
      <w:rFonts w:ascii="Impact" w:hAnsi="Impact"/>
      <w:bCs/>
      <w:iCs/>
      <w:color w:val="ffffff"/>
      <w:sz w:val="28"/>
      <w:szCs w:val="20"/>
      <w:lang w:bidi="hi-IN"/>
    </w:rPr>
  </w:style>
  <w:style w:type="character" w:styleId="978" w:customStyle="1">
    <w:name w:val="Intense Quote Char"/>
    <w:uiPriority w:val="30"/>
    <w:rPr>
      <w:i/>
    </w:rPr>
  </w:style>
  <w:style w:type="paragraph" w:styleId="979">
    <w:name w:val="Header"/>
    <w:basedOn w:val="947"/>
    <w:link w:val="980"/>
    <w:uiPriority w:val="99"/>
    <w:unhideWhenUsed/>
    <w:pPr>
      <w:tabs>
        <w:tab w:val="center" w:pos="7143" w:leader="none"/>
        <w:tab w:val="right" w:pos="14287" w:leader="none"/>
      </w:tabs>
    </w:pPr>
  </w:style>
  <w:style w:type="character" w:styleId="980" w:customStyle="1">
    <w:name w:val="Верхний колонтитул Знак"/>
    <w:link w:val="979"/>
    <w:uiPriority w:val="99"/>
  </w:style>
  <w:style w:type="paragraph" w:styleId="981">
    <w:name w:val="Footer"/>
    <w:basedOn w:val="947"/>
    <w:link w:val="1174"/>
    <w:pPr>
      <w:tabs>
        <w:tab w:val="center" w:pos="4677" w:leader="none"/>
        <w:tab w:val="right" w:pos="9355" w:leader="none"/>
      </w:tabs>
    </w:pPr>
    <w:rPr>
      <w:sz w:val="20"/>
      <w:szCs w:val="20"/>
    </w:rPr>
  </w:style>
  <w:style w:type="character" w:styleId="982" w:customStyle="1">
    <w:name w:val="Footer Char"/>
    <w:uiPriority w:val="99"/>
  </w:style>
  <w:style w:type="paragraph" w:styleId="983">
    <w:name w:val="Caption"/>
    <w:basedOn w:val="947"/>
    <w:next w:val="947"/>
    <w:link w:val="984"/>
    <w:uiPriority w:val="99"/>
    <w:qFormat/>
    <w:pPr>
      <w:spacing w:after="180"/>
    </w:pPr>
    <w:rPr>
      <w:rFonts w:ascii="Impact" w:hAnsi="Impact"/>
      <w:bCs/>
      <w:smallCaps/>
      <w:color w:val="303030"/>
      <w:spacing w:val="6"/>
      <w:szCs w:val="18"/>
      <w:lang w:eastAsia="en-US" w:bidi="hi-IN"/>
    </w:rPr>
  </w:style>
  <w:style w:type="character" w:styleId="984" w:customStyle="1">
    <w:name w:val="Название объекта Знак"/>
    <w:link w:val="983"/>
    <w:uiPriority w:val="35"/>
    <w:rPr>
      <w:b/>
      <w:bCs/>
      <w:color w:val="4f81bd"/>
      <w:sz w:val="18"/>
      <w:szCs w:val="18"/>
    </w:rPr>
  </w:style>
  <w:style w:type="table" w:styleId="985">
    <w:name w:val="Table Grid"/>
    <w:basedOn w:val="958"/>
    <w:uiPriority w:val="39"/>
    <w:rPr>
      <w:rFonts w:ascii="Times New Roman" w:hAnsi="Times New Roman"/>
    </w:rPr>
    <w:tblPr/>
  </w:style>
  <w:style w:type="table" w:styleId="986" w:customStyle="1">
    <w:name w:val="Table Grid Light"/>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987">
    <w:name w:val="Plain Table 1"/>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988">
    <w:name w:val="Plain Table 2"/>
    <w:uiPriority w:val="59"/>
    <w:rPr>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989">
    <w:name w:val="Plain Table 3"/>
    <w:uiPriority w:val="99"/>
    <w:rPr>
      <w:lang w:eastAsia="zh-CN"/>
    </w:rPr>
    <w:tblPr>
      <w:tblStyleRowBandSize w:val="1"/>
      <w:tblStyleColBandSize w:val="1"/>
      <w:tblInd w:w="0" w:type="dxa"/>
      <w:tblCellMar>
        <w:left w:w="0" w:type="dxa"/>
        <w:top w:w="0" w:type="dxa"/>
        <w:right w:w="0" w:type="dxa"/>
        <w:bottom w:w="0" w:type="dxa"/>
      </w:tblCellMar>
    </w:tblPr>
  </w:style>
  <w:style w:type="table" w:styleId="990">
    <w:name w:val="Plain Table 4"/>
    <w:uiPriority w:val="99"/>
    <w:rPr>
      <w:lang w:eastAsia="zh-CN"/>
    </w:rPr>
    <w:tblPr>
      <w:tblStyleRowBandSize w:val="1"/>
      <w:tblStyleColBandSize w:val="1"/>
      <w:tblInd w:w="0" w:type="dxa"/>
      <w:tblCellMar>
        <w:left w:w="0" w:type="dxa"/>
        <w:top w:w="0" w:type="dxa"/>
        <w:right w:w="0" w:type="dxa"/>
        <w:bottom w:w="0" w:type="dxa"/>
      </w:tblCellMar>
    </w:tblPr>
  </w:style>
  <w:style w:type="table" w:styleId="991">
    <w:name w:val="Plain Table 5"/>
    <w:uiPriority w:val="99"/>
    <w:rPr>
      <w:lang w:eastAsia="zh-CN"/>
    </w:rPr>
    <w:tblPr>
      <w:tblStyleRowBandSize w:val="1"/>
      <w:tblStyleColBandSize w:val="1"/>
      <w:tblInd w:w="0" w:type="dxa"/>
      <w:tblCellMar>
        <w:left w:w="0" w:type="dxa"/>
        <w:top w:w="0" w:type="dxa"/>
        <w:right w:w="0" w:type="dxa"/>
        <w:bottom w:w="0" w:type="dxa"/>
      </w:tblCellMar>
    </w:tblPr>
  </w:style>
  <w:style w:type="table" w:styleId="992">
    <w:name w:val="Grid Table 1 Light"/>
    <w:uiPriority w:val="99"/>
    <w:rPr>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993" w:customStyle="1">
    <w:name w:val="Grid Table 1 Light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994" w:customStyle="1">
    <w:name w:val="Grid Table 1 Light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995" w:customStyle="1">
    <w:name w:val="Grid Table 1 Light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996" w:customStyle="1">
    <w:name w:val="Grid Table 1 Light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997" w:customStyle="1">
    <w:name w:val="Grid Table 1 Light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998" w:customStyle="1">
    <w:name w:val="Grid Table 1 Light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999">
    <w:name w:val="Grid Table 2"/>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1000" w:customStyle="1">
    <w:name w:val="Grid Table 2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1001" w:customStyle="1">
    <w:name w:val="Grid Table 2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002" w:customStyle="1">
    <w:name w:val="Grid Table 2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003" w:customStyle="1">
    <w:name w:val="Grid Table 2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004" w:customStyle="1">
    <w:name w:val="Grid Table 2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1005" w:customStyle="1">
    <w:name w:val="Grid Table 2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1006">
    <w:name w:val="Grid Table 3"/>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1007" w:customStyle="1">
    <w:name w:val="Grid Table 3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1008" w:customStyle="1">
    <w:name w:val="Grid Table 3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009" w:customStyle="1">
    <w:name w:val="Grid Table 3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010" w:customStyle="1">
    <w:name w:val="Grid Table 3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011" w:customStyle="1">
    <w:name w:val="Grid Table 3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1012" w:customStyle="1">
    <w:name w:val="Grid Table 3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1013">
    <w:name w:val="Grid Table 4"/>
    <w:uiPriority w:val="59"/>
    <w:rPr>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1014" w:customStyle="1">
    <w:name w:val="Grid Table 4 - Accent 1"/>
    <w:uiPriority w:val="5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1015" w:customStyle="1">
    <w:name w:val="Grid Table 4 - Accent 2"/>
    <w:uiPriority w:val="5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1016" w:customStyle="1">
    <w:name w:val="Grid Table 4 - Accent 3"/>
    <w:uiPriority w:val="5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1017" w:customStyle="1">
    <w:name w:val="Grid Table 4 - Accent 4"/>
    <w:uiPriority w:val="5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1018" w:customStyle="1">
    <w:name w:val="Grid Table 4 - Accent 5"/>
    <w:uiPriority w:val="5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1019" w:customStyle="1">
    <w:name w:val="Grid Table 4 - Accent 6"/>
    <w:uiPriority w:val="5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1020">
    <w:name w:val="Grid Table 5 Dark"/>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style>
  <w:style w:type="table" w:styleId="1021" w:customStyle="1">
    <w:name w:val="Grid Table 5 Dark- Accent 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style>
  <w:style w:type="table" w:styleId="1022" w:customStyle="1">
    <w:name w:val="Grid Table 5 Dark - Accent 2"/>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style>
  <w:style w:type="table" w:styleId="1023" w:customStyle="1">
    <w:name w:val="Grid Table 5 Dark - Accent 3"/>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style>
  <w:style w:type="table" w:styleId="1024" w:customStyle="1">
    <w:name w:val="Grid Table 5 Dark- Accent 4"/>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style>
  <w:style w:type="table" w:styleId="1025" w:customStyle="1">
    <w:name w:val="Grid Table 5 Dark - Accent 5"/>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style>
  <w:style w:type="table" w:styleId="1026" w:customStyle="1">
    <w:name w:val="Grid Table 5 Dark - Accent 6"/>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style>
  <w:style w:type="table" w:styleId="1027">
    <w:name w:val="Grid Table 6 Colorful"/>
    <w:uiPriority w:val="99"/>
    <w:rPr>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1028" w:customStyle="1">
    <w:name w:val="Grid Table 6 Colorful - Accent 1"/>
    <w:uiPriority w:val="99"/>
    <w:rPr>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1029" w:customStyle="1">
    <w:name w:val="Grid Table 6 Colorful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030" w:customStyle="1">
    <w:name w:val="Grid Table 6 Colorful - Accent 3"/>
    <w:uiPriority w:val="99"/>
    <w:rPr>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031" w:customStyle="1">
    <w:name w:val="Grid Table 6 Colorful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032" w:customStyle="1">
    <w:name w:val="Grid Table 6 Colorful - Accent 5"/>
    <w:uiPriority w:val="99"/>
    <w:rPr>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1033" w:customStyle="1">
    <w:name w:val="Grid Table 6 Colorful - Accent 6"/>
    <w:uiPriority w:val="99"/>
    <w:rPr>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1034">
    <w:name w:val="Grid Table 7 Colorful"/>
    <w:uiPriority w:val="99"/>
    <w:rPr>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1035" w:customStyle="1">
    <w:name w:val="Grid Table 7 Colorful - Accent 1"/>
    <w:uiPriority w:val="99"/>
    <w:rPr>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1036" w:customStyle="1">
    <w:name w:val="Grid Table 7 Colorful - Accent 2"/>
    <w:uiPriority w:val="99"/>
    <w:rPr>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1037" w:customStyle="1">
    <w:name w:val="Grid Table 7 Colorful - Accent 3"/>
    <w:uiPriority w:val="99"/>
    <w:rPr>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1038" w:customStyle="1">
    <w:name w:val="Grid Table 7 Colorful - Accent 4"/>
    <w:uiPriority w:val="99"/>
    <w:rPr>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1039" w:customStyle="1">
    <w:name w:val="Grid Table 7 Colorful - Accent 5"/>
    <w:uiPriority w:val="99"/>
    <w:rPr>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1040" w:customStyle="1">
    <w:name w:val="Grid Table 7 Colorful - Accent 6"/>
    <w:uiPriority w:val="99"/>
    <w:rPr>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1041">
    <w:name w:val="List Table 1 Light"/>
    <w:uiPriority w:val="99"/>
    <w:rPr>
      <w:lang w:eastAsia="zh-CN"/>
    </w:rPr>
    <w:tblPr>
      <w:tblStyleRowBandSize w:val="1"/>
      <w:tblStyleColBandSize w:val="1"/>
      <w:tblInd w:w="0" w:type="dxa"/>
      <w:tblCellMar>
        <w:left w:w="0" w:type="dxa"/>
        <w:top w:w="0" w:type="dxa"/>
        <w:right w:w="0" w:type="dxa"/>
        <w:bottom w:w="0" w:type="dxa"/>
      </w:tblCellMar>
    </w:tblPr>
  </w:style>
  <w:style w:type="table" w:styleId="1042" w:customStyle="1">
    <w:name w:val="List Table 1 Light - Accent 1"/>
    <w:uiPriority w:val="99"/>
    <w:rPr>
      <w:lang w:eastAsia="zh-CN"/>
    </w:rPr>
    <w:tblPr>
      <w:tblStyleRowBandSize w:val="1"/>
      <w:tblStyleColBandSize w:val="1"/>
      <w:tblInd w:w="0" w:type="dxa"/>
      <w:tblCellMar>
        <w:left w:w="0" w:type="dxa"/>
        <w:top w:w="0" w:type="dxa"/>
        <w:right w:w="0" w:type="dxa"/>
        <w:bottom w:w="0" w:type="dxa"/>
      </w:tblCellMar>
    </w:tblPr>
  </w:style>
  <w:style w:type="table" w:styleId="1043" w:customStyle="1">
    <w:name w:val="List Table 1 Light - Accent 2"/>
    <w:uiPriority w:val="99"/>
    <w:rPr>
      <w:lang w:eastAsia="zh-CN"/>
    </w:rPr>
    <w:tblPr>
      <w:tblStyleRowBandSize w:val="1"/>
      <w:tblStyleColBandSize w:val="1"/>
      <w:tblInd w:w="0" w:type="dxa"/>
      <w:tblCellMar>
        <w:left w:w="0" w:type="dxa"/>
        <w:top w:w="0" w:type="dxa"/>
        <w:right w:w="0" w:type="dxa"/>
        <w:bottom w:w="0" w:type="dxa"/>
      </w:tblCellMar>
    </w:tblPr>
  </w:style>
  <w:style w:type="table" w:styleId="1044" w:customStyle="1">
    <w:name w:val="List Table 1 Light - Accent 3"/>
    <w:uiPriority w:val="99"/>
    <w:rPr>
      <w:lang w:eastAsia="zh-CN"/>
    </w:rPr>
    <w:tblPr>
      <w:tblStyleRowBandSize w:val="1"/>
      <w:tblStyleColBandSize w:val="1"/>
      <w:tblInd w:w="0" w:type="dxa"/>
      <w:tblCellMar>
        <w:left w:w="0" w:type="dxa"/>
        <w:top w:w="0" w:type="dxa"/>
        <w:right w:w="0" w:type="dxa"/>
        <w:bottom w:w="0" w:type="dxa"/>
      </w:tblCellMar>
    </w:tblPr>
  </w:style>
  <w:style w:type="table" w:styleId="1045" w:customStyle="1">
    <w:name w:val="List Table 1 Light - Accent 4"/>
    <w:uiPriority w:val="99"/>
    <w:rPr>
      <w:lang w:eastAsia="zh-CN"/>
    </w:rPr>
    <w:tblPr>
      <w:tblStyleRowBandSize w:val="1"/>
      <w:tblStyleColBandSize w:val="1"/>
      <w:tblInd w:w="0" w:type="dxa"/>
      <w:tblCellMar>
        <w:left w:w="0" w:type="dxa"/>
        <w:top w:w="0" w:type="dxa"/>
        <w:right w:w="0" w:type="dxa"/>
        <w:bottom w:w="0" w:type="dxa"/>
      </w:tblCellMar>
    </w:tblPr>
  </w:style>
  <w:style w:type="table" w:styleId="1046" w:customStyle="1">
    <w:name w:val="List Table 1 Light - Accent 5"/>
    <w:uiPriority w:val="99"/>
    <w:rPr>
      <w:lang w:eastAsia="zh-CN"/>
    </w:rPr>
    <w:tblPr>
      <w:tblStyleRowBandSize w:val="1"/>
      <w:tblStyleColBandSize w:val="1"/>
      <w:tblInd w:w="0" w:type="dxa"/>
      <w:tblCellMar>
        <w:left w:w="0" w:type="dxa"/>
        <w:top w:w="0" w:type="dxa"/>
        <w:right w:w="0" w:type="dxa"/>
        <w:bottom w:w="0" w:type="dxa"/>
      </w:tblCellMar>
    </w:tblPr>
  </w:style>
  <w:style w:type="table" w:styleId="1047" w:customStyle="1">
    <w:name w:val="List Table 1 Light - Accent 6"/>
    <w:uiPriority w:val="99"/>
    <w:rPr>
      <w:lang w:eastAsia="zh-CN"/>
    </w:rPr>
    <w:tblPr>
      <w:tblStyleRowBandSize w:val="1"/>
      <w:tblStyleColBandSize w:val="1"/>
      <w:tblInd w:w="0" w:type="dxa"/>
      <w:tblCellMar>
        <w:left w:w="0" w:type="dxa"/>
        <w:top w:w="0" w:type="dxa"/>
        <w:right w:w="0" w:type="dxa"/>
        <w:bottom w:w="0" w:type="dxa"/>
      </w:tblCellMar>
    </w:tblPr>
  </w:style>
  <w:style w:type="table" w:styleId="1048">
    <w:name w:val="List Table 2"/>
    <w:uiPriority w:val="99"/>
    <w:rPr>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1049" w:customStyle="1">
    <w:name w:val="List Table 2 - Accent 1"/>
    <w:uiPriority w:val="99"/>
    <w:rPr>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1050" w:customStyle="1">
    <w:name w:val="List Table 2 - Accent 2"/>
    <w:uiPriority w:val="99"/>
    <w:rPr>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1051" w:customStyle="1">
    <w:name w:val="List Table 2 - Accent 3"/>
    <w:uiPriority w:val="99"/>
    <w:rPr>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1052" w:customStyle="1">
    <w:name w:val="List Table 2 - Accent 4"/>
    <w:uiPriority w:val="99"/>
    <w:rPr>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1053" w:customStyle="1">
    <w:name w:val="List Table 2 - Accent 5"/>
    <w:uiPriority w:val="99"/>
    <w:rPr>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1054" w:customStyle="1">
    <w:name w:val="List Table 2 - Accent 6"/>
    <w:uiPriority w:val="99"/>
    <w:rPr>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1055">
    <w:name w:val="List Table 3"/>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1056" w:customStyle="1">
    <w:name w:val="List Table 3 - Accent 1"/>
    <w:uiPriority w:val="99"/>
    <w:rPr>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1057" w:customStyle="1">
    <w:name w:val="List Table 3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1058" w:customStyle="1">
    <w:name w:val="List Table 3 - Accent 3"/>
    <w:uiPriority w:val="99"/>
    <w:rPr>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1059" w:customStyle="1">
    <w:name w:val="List Table 3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1060" w:customStyle="1">
    <w:name w:val="List Table 3 - Accent 5"/>
    <w:uiPriority w:val="99"/>
    <w:rPr>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1061" w:customStyle="1">
    <w:name w:val="List Table 3 - Accent 6"/>
    <w:uiPriority w:val="99"/>
    <w:rPr>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1062">
    <w:name w:val="List Table 4"/>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1063" w:customStyle="1">
    <w:name w:val="List Table 4 - Accent 1"/>
    <w:uiPriority w:val="9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1064" w:customStyle="1">
    <w:name w:val="List Table 4 - Accent 2"/>
    <w:uiPriority w:val="9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1065" w:customStyle="1">
    <w:name w:val="List Table 4 - Accent 3"/>
    <w:uiPriority w:val="9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1066" w:customStyle="1">
    <w:name w:val="List Table 4 - Accent 4"/>
    <w:uiPriority w:val="9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1067" w:customStyle="1">
    <w:name w:val="List Table 4 - Accent 5"/>
    <w:uiPriority w:val="9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1068" w:customStyle="1">
    <w:name w:val="List Table 4 - Accent 6"/>
    <w:uiPriority w:val="9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1069">
    <w:name w:val="List Table 5 Dark"/>
    <w:uiPriority w:val="99"/>
    <w:rPr>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style>
  <w:style w:type="table" w:styleId="1070" w:customStyle="1">
    <w:name w:val="List Table 5 Dark - Accent 1"/>
    <w:uiPriority w:val="99"/>
    <w:rPr>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style>
  <w:style w:type="table" w:styleId="1071" w:customStyle="1">
    <w:name w:val="List Table 5 Dark - Accent 2"/>
    <w:uiPriority w:val="99"/>
    <w:rPr>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style>
  <w:style w:type="table" w:styleId="1072" w:customStyle="1">
    <w:name w:val="List Table 5 Dark - Accent 3"/>
    <w:uiPriority w:val="99"/>
    <w:rPr>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style>
  <w:style w:type="table" w:styleId="1073" w:customStyle="1">
    <w:name w:val="List Table 5 Dark - Accent 4"/>
    <w:uiPriority w:val="99"/>
    <w:rPr>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style>
  <w:style w:type="table" w:styleId="1074" w:customStyle="1">
    <w:name w:val="List Table 5 Dark - Accent 5"/>
    <w:uiPriority w:val="99"/>
    <w:rPr>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style>
  <w:style w:type="table" w:styleId="1075" w:customStyle="1">
    <w:name w:val="List Table 5 Dark - Accent 6"/>
    <w:uiPriority w:val="99"/>
    <w:rPr>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style>
  <w:style w:type="table" w:styleId="1076">
    <w:name w:val="List Table 6 Colorful"/>
    <w:uiPriority w:val="99"/>
    <w:rPr>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1077" w:customStyle="1">
    <w:name w:val="List Table 6 Colorful - Accent 1"/>
    <w:uiPriority w:val="99"/>
    <w:rPr>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1078" w:customStyle="1">
    <w:name w:val="List Table 6 Colorful - Accent 2"/>
    <w:uiPriority w:val="99"/>
    <w:rPr>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1079" w:customStyle="1">
    <w:name w:val="List Table 6 Colorful - Accent 3"/>
    <w:uiPriority w:val="99"/>
    <w:rPr>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1080" w:customStyle="1">
    <w:name w:val="List Table 6 Colorful - Accent 4"/>
    <w:uiPriority w:val="99"/>
    <w:rPr>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1081" w:customStyle="1">
    <w:name w:val="List Table 6 Colorful - Accent 5"/>
    <w:uiPriority w:val="99"/>
    <w:rPr>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1082" w:customStyle="1">
    <w:name w:val="List Table 6 Colorful - Accent 6"/>
    <w:uiPriority w:val="99"/>
    <w:rPr>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1083">
    <w:name w:val="List Table 7 Colorful"/>
    <w:uiPriority w:val="99"/>
    <w:rPr>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1084" w:customStyle="1">
    <w:name w:val="List Table 7 Colorful - Accent 1"/>
    <w:uiPriority w:val="99"/>
    <w:rPr>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1085" w:customStyle="1">
    <w:name w:val="List Table 7 Colorful - Accent 2"/>
    <w:uiPriority w:val="99"/>
    <w:rPr>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1086" w:customStyle="1">
    <w:name w:val="List Table 7 Colorful - Accent 3"/>
    <w:uiPriority w:val="99"/>
    <w:rPr>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1087" w:customStyle="1">
    <w:name w:val="List Table 7 Colorful - Accent 4"/>
    <w:uiPriority w:val="99"/>
    <w:rPr>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1088" w:customStyle="1">
    <w:name w:val="List Table 7 Colorful - Accent 5"/>
    <w:uiPriority w:val="99"/>
    <w:rPr>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1089" w:customStyle="1">
    <w:name w:val="List Table 7 Colorful - Accent 6"/>
    <w:uiPriority w:val="99"/>
    <w:rPr>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1090" w:customStyle="1">
    <w:name w:val="Lined - Accent"/>
    <w:uiPriority w:val="99"/>
    <w:rPr>
      <w:color w:val="404040"/>
    </w:rPr>
    <w:tblPr>
      <w:tblStyleRowBandSize w:val="1"/>
      <w:tblStyleColBandSize w:val="1"/>
      <w:tblInd w:w="0" w:type="dxa"/>
      <w:tblCellMar>
        <w:left w:w="0" w:type="dxa"/>
        <w:top w:w="0" w:type="dxa"/>
        <w:right w:w="0" w:type="dxa"/>
        <w:bottom w:w="0" w:type="dxa"/>
      </w:tblCellMar>
    </w:tblPr>
  </w:style>
  <w:style w:type="table" w:styleId="1091" w:customStyle="1">
    <w:name w:val="Lined - Accent 1"/>
    <w:uiPriority w:val="99"/>
    <w:rPr>
      <w:color w:val="404040"/>
    </w:rPr>
    <w:tblPr>
      <w:tblStyleRowBandSize w:val="1"/>
      <w:tblStyleColBandSize w:val="1"/>
      <w:tblInd w:w="0" w:type="dxa"/>
      <w:tblCellMar>
        <w:left w:w="0" w:type="dxa"/>
        <w:top w:w="0" w:type="dxa"/>
        <w:right w:w="0" w:type="dxa"/>
        <w:bottom w:w="0" w:type="dxa"/>
      </w:tblCellMar>
    </w:tblPr>
  </w:style>
  <w:style w:type="table" w:styleId="1092" w:customStyle="1">
    <w:name w:val="Lined - Accent 2"/>
    <w:uiPriority w:val="99"/>
    <w:rPr>
      <w:color w:val="404040"/>
    </w:rPr>
    <w:tblPr>
      <w:tblStyleRowBandSize w:val="1"/>
      <w:tblStyleColBandSize w:val="1"/>
      <w:tblInd w:w="0" w:type="dxa"/>
      <w:tblCellMar>
        <w:left w:w="0" w:type="dxa"/>
        <w:top w:w="0" w:type="dxa"/>
        <w:right w:w="0" w:type="dxa"/>
        <w:bottom w:w="0" w:type="dxa"/>
      </w:tblCellMar>
    </w:tblPr>
  </w:style>
  <w:style w:type="table" w:styleId="1093" w:customStyle="1">
    <w:name w:val="Lined - Accent 3"/>
    <w:uiPriority w:val="99"/>
    <w:rPr>
      <w:color w:val="404040"/>
    </w:rPr>
    <w:tblPr>
      <w:tblStyleRowBandSize w:val="1"/>
      <w:tblStyleColBandSize w:val="1"/>
      <w:tblInd w:w="0" w:type="dxa"/>
      <w:tblCellMar>
        <w:left w:w="0" w:type="dxa"/>
        <w:top w:w="0" w:type="dxa"/>
        <w:right w:w="0" w:type="dxa"/>
        <w:bottom w:w="0" w:type="dxa"/>
      </w:tblCellMar>
    </w:tblPr>
  </w:style>
  <w:style w:type="table" w:styleId="1094" w:customStyle="1">
    <w:name w:val="Lined - Accent 4"/>
    <w:uiPriority w:val="99"/>
    <w:rPr>
      <w:color w:val="404040"/>
    </w:rPr>
    <w:tblPr>
      <w:tblStyleRowBandSize w:val="1"/>
      <w:tblStyleColBandSize w:val="1"/>
      <w:tblInd w:w="0" w:type="dxa"/>
      <w:tblCellMar>
        <w:left w:w="0" w:type="dxa"/>
        <w:top w:w="0" w:type="dxa"/>
        <w:right w:w="0" w:type="dxa"/>
        <w:bottom w:w="0" w:type="dxa"/>
      </w:tblCellMar>
    </w:tblPr>
  </w:style>
  <w:style w:type="table" w:styleId="1095" w:customStyle="1">
    <w:name w:val="Lined - Accent 5"/>
    <w:uiPriority w:val="99"/>
    <w:rPr>
      <w:color w:val="404040"/>
    </w:rPr>
    <w:tblPr>
      <w:tblStyleRowBandSize w:val="1"/>
      <w:tblStyleColBandSize w:val="1"/>
      <w:tblInd w:w="0" w:type="dxa"/>
      <w:tblCellMar>
        <w:left w:w="0" w:type="dxa"/>
        <w:top w:w="0" w:type="dxa"/>
        <w:right w:w="0" w:type="dxa"/>
        <w:bottom w:w="0" w:type="dxa"/>
      </w:tblCellMar>
    </w:tblPr>
  </w:style>
  <w:style w:type="table" w:styleId="1096" w:customStyle="1">
    <w:name w:val="Lined - Accent 6"/>
    <w:uiPriority w:val="99"/>
    <w:rPr>
      <w:color w:val="404040"/>
    </w:rPr>
    <w:tblPr>
      <w:tblStyleRowBandSize w:val="1"/>
      <w:tblStyleColBandSize w:val="1"/>
      <w:tblInd w:w="0" w:type="dxa"/>
      <w:tblCellMar>
        <w:left w:w="0" w:type="dxa"/>
        <w:top w:w="0" w:type="dxa"/>
        <w:right w:w="0" w:type="dxa"/>
        <w:bottom w:w="0" w:type="dxa"/>
      </w:tblCellMar>
    </w:tblPr>
  </w:style>
  <w:style w:type="table" w:styleId="1097" w:customStyle="1">
    <w:name w:val="Bordered &amp; Lined - Accent"/>
    <w:uiPriority w:val="99"/>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1098" w:customStyle="1">
    <w:name w:val="Bordered &amp; Lined - Accent 1"/>
    <w:uiPriority w:val="99"/>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1099" w:customStyle="1">
    <w:name w:val="Bordered &amp; Lined - Accent 2"/>
    <w:uiPriority w:val="99"/>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1100" w:customStyle="1">
    <w:name w:val="Bordered &amp; Lined - Accent 3"/>
    <w:uiPriority w:val="99"/>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1101" w:customStyle="1">
    <w:name w:val="Bordered &amp; Lined - Accent 4"/>
    <w:uiPriority w:val="99"/>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1102" w:customStyle="1">
    <w:name w:val="Bordered &amp; Lined - Accent 5"/>
    <w:uiPriority w:val="99"/>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1103" w:customStyle="1">
    <w:name w:val="Bordered &amp; Lined - Accent 6"/>
    <w:uiPriority w:val="99"/>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1104" w:customStyle="1">
    <w:name w:val="Bordered"/>
    <w:uiPriority w:val="99"/>
    <w:rPr>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1105" w:customStyle="1">
    <w:name w:val="Bordered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1106" w:customStyle="1">
    <w:name w:val="Bordered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1107" w:customStyle="1">
    <w:name w:val="Bordered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1108" w:customStyle="1">
    <w:name w:val="Bordered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1109" w:customStyle="1">
    <w:name w:val="Bordered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1110" w:customStyle="1">
    <w:name w:val="Bordered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1111">
    <w:name w:val="Hyperlink"/>
    <w:uiPriority w:val="99"/>
    <w:rPr>
      <w:rFonts w:cs="Times New Roman"/>
      <w:color w:val="0000ff"/>
      <w:u w:val="single"/>
    </w:rPr>
  </w:style>
  <w:style w:type="paragraph" w:styleId="1112">
    <w:name w:val="footnote text"/>
    <w:basedOn w:val="947"/>
    <w:link w:val="1279"/>
    <w:semiHidden/>
    <w:rPr>
      <w:sz w:val="20"/>
      <w:szCs w:val="20"/>
    </w:rPr>
  </w:style>
  <w:style w:type="character" w:styleId="1113" w:customStyle="1">
    <w:name w:val="Footnote Text Char"/>
    <w:uiPriority w:val="99"/>
    <w:rPr>
      <w:sz w:val="18"/>
    </w:rPr>
  </w:style>
  <w:style w:type="character" w:styleId="1114">
    <w:name w:val="footnote reference"/>
    <w:uiPriority w:val="99"/>
    <w:semiHidden/>
    <w:rPr>
      <w:rFonts w:cs="Times New Roman"/>
      <w:vertAlign w:val="superscript"/>
    </w:rPr>
  </w:style>
  <w:style w:type="paragraph" w:styleId="1115">
    <w:name w:val="endnote text"/>
    <w:basedOn w:val="947"/>
    <w:link w:val="1207"/>
    <w:uiPriority w:val="99"/>
    <w:rPr>
      <w:sz w:val="20"/>
      <w:szCs w:val="20"/>
    </w:rPr>
  </w:style>
  <w:style w:type="character" w:styleId="1116" w:customStyle="1">
    <w:name w:val="Endnote Text Char"/>
    <w:uiPriority w:val="99"/>
    <w:rPr>
      <w:sz w:val="20"/>
    </w:rPr>
  </w:style>
  <w:style w:type="character" w:styleId="1117">
    <w:name w:val="endnote reference"/>
    <w:uiPriority w:val="99"/>
    <w:semiHidden/>
    <w:rPr>
      <w:rFonts w:cs="Times New Roman"/>
      <w:vertAlign w:val="superscript"/>
    </w:rPr>
  </w:style>
  <w:style w:type="paragraph" w:styleId="1118">
    <w:name w:val="toc 1"/>
    <w:basedOn w:val="947"/>
    <w:next w:val="947"/>
    <w:uiPriority w:val="39"/>
    <w:qFormat/>
    <w:pPr>
      <w:ind w:left="567" w:right="140" w:hanging="567"/>
      <w:jc w:val="both"/>
      <w:tabs>
        <w:tab w:val="left" w:pos="567" w:leader="none"/>
        <w:tab w:val="right" w:pos="10065" w:leader="dot"/>
      </w:tabs>
    </w:pPr>
  </w:style>
  <w:style w:type="paragraph" w:styleId="1119">
    <w:name w:val="toc 2"/>
    <w:basedOn w:val="947"/>
    <w:next w:val="947"/>
    <w:uiPriority w:val="39"/>
    <w:unhideWhenUsed/>
    <w:qFormat/>
    <w:pPr>
      <w:ind w:left="567" w:right="1132"/>
      <w:spacing w:after="100"/>
      <w:tabs>
        <w:tab w:val="left" w:pos="1134" w:leader="none"/>
        <w:tab w:val="right" w:pos="10065" w:leader="dot"/>
      </w:tabs>
    </w:pPr>
  </w:style>
  <w:style w:type="paragraph" w:styleId="1120">
    <w:name w:val="toc 3"/>
    <w:basedOn w:val="947"/>
    <w:next w:val="947"/>
    <w:uiPriority w:val="39"/>
    <w:unhideWhenUsed/>
    <w:qFormat/>
    <w:pPr>
      <w:ind w:left="2268" w:right="990" w:hanging="1701"/>
      <w:spacing w:after="100"/>
      <w:tabs>
        <w:tab w:val="right" w:pos="10065" w:leader="dot"/>
      </w:tabs>
    </w:pPr>
  </w:style>
  <w:style w:type="paragraph" w:styleId="1121">
    <w:name w:val="toc 4"/>
    <w:basedOn w:val="947"/>
    <w:next w:val="947"/>
    <w:uiPriority w:val="39"/>
    <w:unhideWhenUsed/>
    <w:pPr>
      <w:ind w:left="850"/>
      <w:spacing w:after="57"/>
    </w:pPr>
  </w:style>
  <w:style w:type="paragraph" w:styleId="1122">
    <w:name w:val="toc 5"/>
    <w:basedOn w:val="947"/>
    <w:next w:val="947"/>
    <w:uiPriority w:val="39"/>
    <w:unhideWhenUsed/>
    <w:pPr>
      <w:ind w:left="1134"/>
      <w:spacing w:after="57"/>
    </w:pPr>
  </w:style>
  <w:style w:type="paragraph" w:styleId="1123">
    <w:name w:val="toc 6"/>
    <w:basedOn w:val="947"/>
    <w:next w:val="947"/>
    <w:uiPriority w:val="39"/>
    <w:unhideWhenUsed/>
    <w:pPr>
      <w:ind w:left="1417"/>
      <w:spacing w:after="57"/>
    </w:pPr>
  </w:style>
  <w:style w:type="paragraph" w:styleId="1124">
    <w:name w:val="toc 7"/>
    <w:basedOn w:val="947"/>
    <w:next w:val="947"/>
    <w:uiPriority w:val="39"/>
    <w:unhideWhenUsed/>
    <w:pPr>
      <w:ind w:left="1701"/>
      <w:spacing w:after="57"/>
    </w:pPr>
  </w:style>
  <w:style w:type="paragraph" w:styleId="1125">
    <w:name w:val="toc 8"/>
    <w:basedOn w:val="947"/>
    <w:next w:val="947"/>
    <w:uiPriority w:val="39"/>
    <w:unhideWhenUsed/>
    <w:pPr>
      <w:ind w:left="1984"/>
      <w:spacing w:after="57"/>
    </w:pPr>
  </w:style>
  <w:style w:type="paragraph" w:styleId="1126">
    <w:name w:val="toc 9"/>
    <w:basedOn w:val="947"/>
    <w:next w:val="947"/>
    <w:uiPriority w:val="39"/>
    <w:unhideWhenUsed/>
    <w:pPr>
      <w:ind w:left="2268"/>
      <w:spacing w:after="57"/>
    </w:pPr>
  </w:style>
  <w:style w:type="paragraph" w:styleId="1127">
    <w:name w:val="TOC Heading"/>
    <w:basedOn w:val="948"/>
    <w:next w:val="947"/>
    <w:uiPriority w:val="99"/>
    <w:qFormat/>
    <w:pPr>
      <w:jc w:val="left"/>
      <w:keepLines/>
      <w:spacing w:before="480" w:line="264" w:lineRule="auto"/>
      <w:outlineLvl w:val="9"/>
    </w:pPr>
    <w:rPr>
      <w:rFonts w:ascii="Impact" w:hAnsi="Impact"/>
      <w:b/>
      <w:bCs/>
      <w:color w:val="ad0101"/>
      <w:spacing w:val="20"/>
      <w:szCs w:val="28"/>
    </w:rPr>
  </w:style>
  <w:style w:type="paragraph" w:styleId="1128">
    <w:name w:val="table of figures"/>
    <w:basedOn w:val="947"/>
    <w:next w:val="947"/>
    <w:uiPriority w:val="99"/>
    <w:unhideWhenUsed/>
  </w:style>
  <w:style w:type="character" w:styleId="1129" w:customStyle="1">
    <w:name w:val="Заголовок 1 Знак"/>
    <w:link w:val="948"/>
    <w:rPr>
      <w:rFonts w:ascii="Times New Roman" w:hAnsi="Times New Roman" w:cs="Times New Roman"/>
      <w:sz w:val="32"/>
    </w:rPr>
  </w:style>
  <w:style w:type="character" w:styleId="1130" w:customStyle="1">
    <w:name w:val="Заголовок 2 Знак"/>
    <w:link w:val="949"/>
    <w:rPr>
      <w:rFonts w:ascii="Arial" w:hAnsi="Arial" w:cs="Times New Roman"/>
      <w:b/>
      <w:i/>
      <w:sz w:val="28"/>
    </w:rPr>
  </w:style>
  <w:style w:type="character" w:styleId="1131" w:customStyle="1">
    <w:name w:val="Заголовок 3 Знак"/>
    <w:link w:val="950"/>
    <w:uiPriority w:val="99"/>
    <w:rPr>
      <w:rFonts w:ascii="Arial" w:hAnsi="Arial" w:cs="Times New Roman"/>
      <w:b/>
      <w:sz w:val="26"/>
    </w:rPr>
  </w:style>
  <w:style w:type="character" w:styleId="1132" w:customStyle="1">
    <w:name w:val="Заголовок 4 Знак"/>
    <w:link w:val="951"/>
    <w:rPr>
      <w:rFonts w:ascii="Cambria" w:hAnsi="Cambria" w:cs="Times New Roman"/>
      <w:b/>
      <w:i/>
      <w:color w:val="4f81bd"/>
    </w:rPr>
  </w:style>
  <w:style w:type="character" w:styleId="1133" w:customStyle="1">
    <w:name w:val="Заголовок 5 Знак"/>
    <w:link w:val="952"/>
    <w:uiPriority w:val="99"/>
    <w:rPr>
      <w:rFonts w:ascii="Impact" w:hAnsi="Impact" w:cs="Times New Roman"/>
      <w:color w:val="000000"/>
      <w:sz w:val="20"/>
      <w:szCs w:val="20"/>
    </w:rPr>
  </w:style>
  <w:style w:type="character" w:styleId="1134" w:customStyle="1">
    <w:name w:val="Заголовок 6 Знак"/>
    <w:link w:val="953"/>
    <w:uiPriority w:val="99"/>
    <w:rPr>
      <w:rFonts w:ascii="Impact" w:hAnsi="Impact" w:cs="Times New Roman"/>
      <w:iCs/>
      <w:color w:val="ad0101"/>
      <w:sz w:val="20"/>
      <w:szCs w:val="20"/>
    </w:rPr>
  </w:style>
  <w:style w:type="character" w:styleId="1135" w:customStyle="1">
    <w:name w:val="Заголовок 7 Знак"/>
    <w:link w:val="954"/>
    <w:uiPriority w:val="9"/>
    <w:rPr>
      <w:rFonts w:ascii="Impact" w:hAnsi="Impact" w:cs="Times New Roman"/>
      <w:i/>
      <w:iCs/>
      <w:color w:val="000000"/>
      <w:sz w:val="20"/>
      <w:szCs w:val="20"/>
    </w:rPr>
  </w:style>
  <w:style w:type="character" w:styleId="1136" w:customStyle="1">
    <w:name w:val="Заголовок 8 Знак"/>
    <w:link w:val="955"/>
    <w:uiPriority w:val="99"/>
    <w:rPr>
      <w:rFonts w:ascii="Impact" w:hAnsi="Impact" w:cs="Times New Roman"/>
      <w:color w:val="000000"/>
      <w:sz w:val="20"/>
      <w:szCs w:val="20"/>
    </w:rPr>
  </w:style>
  <w:style w:type="character" w:styleId="1137" w:customStyle="1">
    <w:name w:val="Заголовок 9 Знак"/>
    <w:link w:val="956"/>
    <w:uiPriority w:val="9"/>
    <w:rPr>
      <w:rFonts w:ascii="Impact" w:hAnsi="Impact" w:cs="Times New Roman"/>
      <w:i/>
      <w:iCs/>
      <w:color w:val="000000"/>
      <w:sz w:val="20"/>
      <w:szCs w:val="20"/>
    </w:rPr>
  </w:style>
  <w:style w:type="paragraph" w:styleId="1138">
    <w:name w:val="Balloon Text"/>
    <w:basedOn w:val="947"/>
    <w:link w:val="1139"/>
    <w:semiHidden/>
    <w:rPr>
      <w:rFonts w:ascii="Tahoma" w:hAnsi="Tahoma"/>
      <w:sz w:val="16"/>
      <w:szCs w:val="16"/>
    </w:rPr>
  </w:style>
  <w:style w:type="character" w:styleId="1139" w:customStyle="1">
    <w:name w:val="Текст выноски Знак"/>
    <w:link w:val="1138"/>
    <w:uiPriority w:val="99"/>
    <w:semiHidden/>
    <w:rPr>
      <w:rFonts w:ascii="Tahoma" w:hAnsi="Tahoma" w:cs="Times New Roman"/>
      <w:sz w:val="16"/>
    </w:rPr>
  </w:style>
  <w:style w:type="paragraph" w:styleId="1140" w:customStyle="1">
    <w:name w:val="Стиль14"/>
    <w:basedOn w:val="947"/>
    <w:uiPriority w:val="99"/>
    <w:pPr>
      <w:ind w:firstLine="720"/>
      <w:jc w:val="both"/>
      <w:spacing w:line="264" w:lineRule="auto"/>
    </w:pPr>
    <w:rPr>
      <w:sz w:val="28"/>
      <w:szCs w:val="20"/>
    </w:rPr>
  </w:style>
  <w:style w:type="paragraph" w:styleId="1141" w:customStyle="1">
    <w:name w:val="Noeeu14"/>
    <w:basedOn w:val="947"/>
    <w:uiPriority w:val="99"/>
    <w:pPr>
      <w:ind w:firstLine="720"/>
      <w:jc w:val="both"/>
      <w:spacing w:line="264" w:lineRule="auto"/>
    </w:pPr>
    <w:rPr>
      <w:sz w:val="28"/>
      <w:szCs w:val="20"/>
    </w:rPr>
  </w:style>
  <w:style w:type="paragraph" w:styleId="1142" w:customStyle="1">
    <w:name w:val="Абзац списка;Нумерованый список;List Paragraph1;1;1. Абзац списка;AC List 01;List Paragraph_0;List Paragraph_1;RSHB_Table-Normal;Subtle Emphasis;Table-Normal;UL;head 5;Абзац маркированнный;Нумерованный спиков;ПАРАГРАФ;Предусловия"/>
    <w:basedOn w:val="947"/>
    <w:link w:val="1336"/>
    <w:uiPriority w:val="34"/>
    <w:qFormat/>
    <w:pPr>
      <w:ind w:left="720"/>
      <w:widowControl w:val="off"/>
    </w:pPr>
    <w:rPr>
      <w:rFonts w:ascii="Arial" w:hAnsi="Arial" w:cs="Arial"/>
      <w:sz w:val="20"/>
      <w:szCs w:val="20"/>
    </w:rPr>
  </w:style>
  <w:style w:type="paragraph" w:styleId="1143" w:customStyle="1">
    <w:name w:val=".FORMATTEXT"/>
    <w:uiPriority w:val="99"/>
    <w:pPr>
      <w:widowControl w:val="off"/>
    </w:pPr>
    <w:rPr>
      <w:rFonts w:ascii="Times New Roman" w:hAnsi="Times New Roman"/>
      <w:sz w:val="24"/>
      <w:szCs w:val="24"/>
    </w:rPr>
  </w:style>
  <w:style w:type="paragraph" w:styleId="1144" w:customStyle="1">
    <w:name w:val="#COL_BOTTOM"/>
    <w:uiPriority w:val="99"/>
    <w:pPr>
      <w:widowControl w:val="off"/>
    </w:pPr>
    <w:rPr>
      <w:rFonts w:ascii="Arial" w:hAnsi="Arial"/>
      <w:sz w:val="24"/>
      <w:szCs w:val="24"/>
    </w:rPr>
  </w:style>
  <w:style w:type="paragraph" w:styleId="1145" w:customStyle="1">
    <w:name w:val="#COL_TOP"/>
    <w:uiPriority w:val="99"/>
    <w:pPr>
      <w:widowControl w:val="off"/>
    </w:pPr>
    <w:rPr>
      <w:rFonts w:ascii="Arial" w:hAnsi="Arial"/>
      <w:sz w:val="24"/>
      <w:szCs w:val="24"/>
    </w:rPr>
  </w:style>
  <w:style w:type="paragraph" w:styleId="1146" w:customStyle="1">
    <w:name w:val="#COL_TOP.PAGE_NUM"/>
    <w:uiPriority w:val="99"/>
    <w:pPr>
      <w:widowControl w:val="off"/>
    </w:pPr>
    <w:rPr>
      <w:rFonts w:ascii="Arial" w:hAnsi="Arial"/>
      <w:sz w:val="24"/>
      <w:szCs w:val="24"/>
    </w:rPr>
  </w:style>
  <w:style w:type="paragraph" w:styleId="1147" w:customStyle="1">
    <w:name w:val="#COL_TOP.TYPE"/>
    <w:uiPriority w:val="99"/>
    <w:pPr>
      <w:widowControl w:val="off"/>
    </w:pPr>
    <w:rPr>
      <w:rFonts w:ascii="Arial" w:hAnsi="Arial"/>
      <w:sz w:val="24"/>
      <w:szCs w:val="24"/>
    </w:rPr>
  </w:style>
  <w:style w:type="paragraph" w:styleId="1148" w:customStyle="1">
    <w:name w:val="#PRINT_SECTION"/>
    <w:uiPriority w:val="99"/>
    <w:pPr>
      <w:widowControl w:val="off"/>
    </w:pPr>
    <w:rPr>
      <w:rFonts w:ascii="Arial" w:hAnsi="Arial"/>
      <w:sz w:val="24"/>
      <w:szCs w:val="24"/>
    </w:rPr>
  </w:style>
  <w:style w:type="paragraph" w:styleId="1149" w:customStyle="1">
    <w:name w:val=".CENTERTEXT"/>
    <w:uiPriority w:val="99"/>
    <w:pPr>
      <w:widowControl w:val="off"/>
    </w:pPr>
    <w:rPr>
      <w:rFonts w:ascii="Arial" w:hAnsi="Arial"/>
      <w:sz w:val="24"/>
      <w:szCs w:val="24"/>
    </w:rPr>
  </w:style>
  <w:style w:type="paragraph" w:styleId="1150" w:customStyle="1">
    <w:name w:val=".HEADERTEXT"/>
    <w:uiPriority w:val="99"/>
    <w:pPr>
      <w:widowControl w:val="off"/>
    </w:pPr>
    <w:rPr>
      <w:rFonts w:ascii="Arial" w:hAnsi="Arial" w:cs="Arial"/>
      <w:sz w:val="22"/>
      <w:szCs w:val="22"/>
    </w:rPr>
  </w:style>
  <w:style w:type="paragraph" w:styleId="1151" w:customStyle="1">
    <w:name w:val=".TOPLEVELTEXT"/>
    <w:uiPriority w:val="99"/>
    <w:pPr>
      <w:widowControl w:val="off"/>
    </w:pPr>
    <w:rPr>
      <w:rFonts w:ascii="Arial" w:hAnsi="Arial"/>
      <w:sz w:val="24"/>
      <w:szCs w:val="24"/>
    </w:rPr>
  </w:style>
  <w:style w:type="paragraph" w:styleId="1152" w:customStyle="1">
    <w:name w:val=".UNFORMATTEXT"/>
    <w:uiPriority w:val="99"/>
    <w:pPr>
      <w:widowControl w:val="off"/>
    </w:pPr>
    <w:rPr>
      <w:rFonts w:ascii="Courier New" w:hAnsi="Courier New" w:cs="Courier New"/>
      <w:sz w:val="24"/>
      <w:szCs w:val="24"/>
    </w:rPr>
  </w:style>
  <w:style w:type="paragraph" w:styleId="1153" w:customStyle="1">
    <w:name w:val="BODY"/>
    <w:uiPriority w:val="99"/>
    <w:pPr>
      <w:widowControl w:val="off"/>
    </w:pPr>
    <w:rPr>
      <w:rFonts w:ascii="DejaVu Sans Condensed" w:hAnsi="DejaVu Sans Condensed" w:cs="DejaVu Sans Condensed"/>
      <w:sz w:val="24"/>
      <w:szCs w:val="24"/>
    </w:rPr>
  </w:style>
  <w:style w:type="paragraph" w:styleId="1154" w:customStyle="1">
    <w:name w:val="HTML"/>
    <w:uiPriority w:val="99"/>
    <w:pPr>
      <w:widowControl w:val="off"/>
    </w:pPr>
    <w:rPr>
      <w:rFonts w:ascii="Arial" w:hAnsi="Arial"/>
      <w:sz w:val="24"/>
      <w:szCs w:val="24"/>
    </w:rPr>
  </w:style>
  <w:style w:type="paragraph" w:styleId="1155" w:customStyle="1">
    <w:name w:val="LI"/>
    <w:uiPriority w:val="99"/>
    <w:pPr>
      <w:widowControl w:val="off"/>
    </w:pPr>
    <w:rPr>
      <w:rFonts w:ascii="Arial" w:hAnsi="Arial"/>
      <w:sz w:val="24"/>
      <w:szCs w:val="24"/>
    </w:rPr>
  </w:style>
  <w:style w:type="paragraph" w:styleId="1156" w:customStyle="1">
    <w:name w:val="LI:HOVER"/>
    <w:uiPriority w:val="99"/>
    <w:pPr>
      <w:widowControl w:val="off"/>
    </w:pPr>
    <w:rPr>
      <w:rFonts w:ascii="Arial" w:hAnsi="Arial"/>
      <w:sz w:val="24"/>
      <w:szCs w:val="24"/>
    </w:rPr>
  </w:style>
  <w:style w:type="paragraph" w:styleId="1157" w:customStyle="1">
    <w:name w:val="TABLE"/>
    <w:uiPriority w:val="99"/>
    <w:pPr>
      <w:widowControl w:val="off"/>
    </w:pPr>
    <w:rPr>
      <w:rFonts w:ascii="Arial" w:hAnsi="Arial"/>
      <w:sz w:val="24"/>
      <w:szCs w:val="24"/>
    </w:rPr>
  </w:style>
  <w:style w:type="paragraph" w:styleId="1158" w:customStyle="1">
    <w:name w:val="UL.LIST"/>
    <w:uiPriority w:val="99"/>
    <w:pPr>
      <w:widowControl w:val="off"/>
    </w:pPr>
    <w:rPr>
      <w:rFonts w:ascii="Arial" w:hAnsi="Arial"/>
      <w:sz w:val="24"/>
      <w:szCs w:val="24"/>
    </w:rPr>
  </w:style>
  <w:style w:type="paragraph" w:styleId="1159" w:customStyle="1">
    <w:name w:val="UL.LISTRECORDS"/>
    <w:uiPriority w:val="99"/>
    <w:pPr>
      <w:widowControl w:val="off"/>
    </w:pPr>
    <w:rPr>
      <w:rFonts w:ascii="Arial" w:hAnsi="Arial"/>
      <w:sz w:val="24"/>
      <w:szCs w:val="24"/>
    </w:rPr>
  </w:style>
  <w:style w:type="paragraph" w:styleId="1160">
    <w:name w:val="Body Text"/>
    <w:basedOn w:val="947"/>
    <w:link w:val="1161"/>
    <w:pPr>
      <w:spacing w:after="120"/>
    </w:pPr>
    <w:rPr>
      <w:sz w:val="20"/>
      <w:szCs w:val="20"/>
    </w:rPr>
  </w:style>
  <w:style w:type="character" w:styleId="1161" w:customStyle="1">
    <w:name w:val="Основной текст Знак"/>
    <w:link w:val="1160"/>
    <w:rPr>
      <w:rFonts w:ascii="Times New Roman" w:hAnsi="Times New Roman" w:cs="Times New Roman"/>
      <w:sz w:val="20"/>
    </w:rPr>
  </w:style>
  <w:style w:type="paragraph" w:styleId="1162" w:customStyle="1">
    <w:name w:val="Верхний колонтитул;Titul;Heder"/>
    <w:basedOn w:val="947"/>
    <w:link w:val="1163"/>
    <w:uiPriority w:val="99"/>
    <w:pPr>
      <w:tabs>
        <w:tab w:val="center" w:pos="4153" w:leader="none"/>
        <w:tab w:val="right" w:pos="8306" w:leader="none"/>
      </w:tabs>
    </w:pPr>
    <w:rPr>
      <w:sz w:val="28"/>
      <w:szCs w:val="28"/>
    </w:rPr>
  </w:style>
  <w:style w:type="character" w:styleId="1163" w:customStyle="1">
    <w:name w:val="Верхний колонтитул Знак;Titul Знак;Heder Знак"/>
    <w:link w:val="1162"/>
    <w:uiPriority w:val="99"/>
    <w:rPr>
      <w:rFonts w:ascii="Times New Roman" w:hAnsi="Times New Roman" w:cs="Times New Roman"/>
      <w:sz w:val="28"/>
    </w:rPr>
  </w:style>
  <w:style w:type="paragraph" w:styleId="1164">
    <w:name w:val="Body Text 2"/>
    <w:basedOn w:val="947"/>
    <w:link w:val="1165"/>
    <w:pPr>
      <w:spacing w:after="120" w:line="480" w:lineRule="auto"/>
    </w:pPr>
    <w:rPr>
      <w:sz w:val="20"/>
      <w:szCs w:val="20"/>
    </w:rPr>
  </w:style>
  <w:style w:type="character" w:styleId="1165" w:customStyle="1">
    <w:name w:val="Основной текст 2 Знак"/>
    <w:link w:val="1164"/>
    <w:uiPriority w:val="99"/>
    <w:semiHidden/>
    <w:rPr>
      <w:rFonts w:cs="Times New Roman"/>
    </w:rPr>
  </w:style>
  <w:style w:type="paragraph" w:styleId="1166">
    <w:name w:val="Body Text Indent"/>
    <w:basedOn w:val="947"/>
    <w:link w:val="1167"/>
    <w:pPr>
      <w:ind w:left="283"/>
      <w:spacing w:after="120"/>
    </w:pPr>
    <w:rPr>
      <w:sz w:val="20"/>
      <w:szCs w:val="20"/>
    </w:rPr>
  </w:style>
  <w:style w:type="character" w:styleId="1167" w:customStyle="1">
    <w:name w:val="Основной текст с отступом Знак"/>
    <w:link w:val="1166"/>
    <w:rPr>
      <w:rFonts w:cs="Times New Roman"/>
    </w:rPr>
  </w:style>
  <w:style w:type="paragraph" w:styleId="1168">
    <w:name w:val="Body Text Indent 2"/>
    <w:basedOn w:val="947"/>
    <w:link w:val="1169"/>
    <w:pPr>
      <w:ind w:left="283"/>
      <w:spacing w:after="120" w:line="480" w:lineRule="auto"/>
    </w:pPr>
    <w:rPr>
      <w:sz w:val="20"/>
      <w:szCs w:val="20"/>
    </w:rPr>
  </w:style>
  <w:style w:type="character" w:styleId="1169" w:customStyle="1">
    <w:name w:val="Основной текст с отступом 2 Знак"/>
    <w:link w:val="1168"/>
    <w:uiPriority w:val="99"/>
    <w:rPr>
      <w:rFonts w:ascii="Times New Roman" w:hAnsi="Times New Roman" w:cs="Times New Roman"/>
      <w:sz w:val="20"/>
    </w:rPr>
  </w:style>
  <w:style w:type="paragraph" w:styleId="1170" w:customStyle="1">
    <w:name w:val="ConsPlusTitle"/>
    <w:pPr>
      <w:widowControl w:val="off"/>
    </w:pPr>
    <w:rPr>
      <w:rFonts w:ascii="Arial" w:hAnsi="Arial" w:cs="Arial"/>
      <w:b/>
      <w:bCs/>
    </w:rPr>
  </w:style>
  <w:style w:type="paragraph" w:styleId="1171" w:customStyle="1">
    <w:name w:val="ConsNormal"/>
    <w:uiPriority w:val="99"/>
    <w:pPr>
      <w:ind w:firstLine="720"/>
      <w:widowControl w:val="off"/>
    </w:pPr>
    <w:rPr>
      <w:rFonts w:ascii="Arial" w:hAnsi="Arial" w:cs="Arial"/>
      <w:sz w:val="16"/>
      <w:szCs w:val="16"/>
    </w:rPr>
  </w:style>
  <w:style w:type="paragraph" w:styleId="1172" w:customStyle="1">
    <w:name w:val="Таблицы (моноширинный)"/>
    <w:basedOn w:val="947"/>
    <w:next w:val="947"/>
    <w:uiPriority w:val="99"/>
    <w:pPr>
      <w:jc w:val="both"/>
      <w:widowControl w:val="off"/>
    </w:pPr>
    <w:rPr>
      <w:rFonts w:ascii="Courier New" w:hAnsi="Courier New" w:cs="Courier New"/>
      <w:sz w:val="20"/>
      <w:szCs w:val="20"/>
    </w:rPr>
  </w:style>
  <w:style w:type="paragraph" w:styleId="1173" w:customStyle="1">
    <w:name w:val="Комментарий"/>
    <w:basedOn w:val="947"/>
    <w:next w:val="947"/>
    <w:uiPriority w:val="99"/>
    <w:pPr>
      <w:ind w:left="170"/>
      <w:jc w:val="both"/>
      <w:widowControl w:val="off"/>
    </w:pPr>
    <w:rPr>
      <w:rFonts w:ascii="Arial" w:hAnsi="Arial"/>
      <w:i/>
      <w:iCs/>
      <w:color w:val="800080"/>
      <w:sz w:val="20"/>
      <w:szCs w:val="20"/>
    </w:rPr>
  </w:style>
  <w:style w:type="character" w:styleId="1174" w:customStyle="1">
    <w:name w:val="Нижний колонтитул Знак"/>
    <w:link w:val="981"/>
    <w:uiPriority w:val="99"/>
    <w:rPr>
      <w:rFonts w:cs="Times New Roman"/>
    </w:rPr>
  </w:style>
  <w:style w:type="character" w:styleId="1175">
    <w:name w:val="annotation reference"/>
    <w:rPr>
      <w:rFonts w:cs="Times New Roman"/>
      <w:sz w:val="16"/>
    </w:rPr>
  </w:style>
  <w:style w:type="paragraph" w:styleId="1176">
    <w:name w:val="annotation text"/>
    <w:basedOn w:val="947"/>
    <w:link w:val="1177"/>
    <w:pPr>
      <w:ind w:right="-23" w:firstLine="480"/>
      <w:jc w:val="both"/>
      <w:spacing w:line="280" w:lineRule="auto"/>
      <w:widowControl w:val="off"/>
    </w:pPr>
    <w:rPr>
      <w:rFonts w:ascii="Times New Roman CYR" w:hAnsi="Times New Roman CYR"/>
      <w:sz w:val="20"/>
      <w:szCs w:val="20"/>
    </w:rPr>
  </w:style>
  <w:style w:type="character" w:styleId="1177" w:customStyle="1">
    <w:name w:val="Текст примечания Знак"/>
    <w:link w:val="1176"/>
    <w:rPr>
      <w:rFonts w:ascii="Times New Roman CYR" w:hAnsi="Times New Roman CYR" w:cs="Times New Roman"/>
      <w:sz w:val="20"/>
    </w:rPr>
  </w:style>
  <w:style w:type="character" w:styleId="1178">
    <w:name w:val="page number"/>
    <w:rPr>
      <w:rFonts w:cs="Times New Roman"/>
    </w:rPr>
  </w:style>
  <w:style w:type="character" w:styleId="1179">
    <w:name w:val="Emphasis"/>
    <w:uiPriority w:val="99"/>
    <w:qFormat/>
    <w:rPr>
      <w:rFonts w:ascii="Arial Narrow" w:hAnsi="Arial Narrow" w:cs="Times New Roman"/>
      <w:sz w:val="22"/>
    </w:rPr>
  </w:style>
  <w:style w:type="paragraph" w:styleId="1180" w:customStyle="1">
    <w:name w:val="formattext topleveltext"/>
    <w:basedOn w:val="947"/>
    <w:uiPriority w:val="99"/>
    <w:pPr>
      <w:spacing w:before="100" w:beforeAutospacing="1" w:after="100" w:afterAutospacing="1"/>
    </w:pPr>
  </w:style>
  <w:style w:type="character" w:styleId="1181" w:customStyle="1">
    <w:name w:val="apple-converted-space"/>
    <w:uiPriority w:val="99"/>
  </w:style>
  <w:style w:type="character" w:styleId="1182" w:customStyle="1">
    <w:name w:val="webofficeattributevalue1"/>
    <w:uiPriority w:val="99"/>
    <w:rPr>
      <w:rFonts w:ascii="Verdana" w:hAnsi="Verdana"/>
      <w:color w:val="000000"/>
      <w:sz w:val="18"/>
      <w:u w:val="none"/>
    </w:rPr>
  </w:style>
  <w:style w:type="character" w:styleId="1183">
    <w:name w:val="Strong"/>
    <w:uiPriority w:val="22"/>
    <w:qFormat/>
    <w:rPr>
      <w:rFonts w:cs="Times New Roman"/>
      <w:b/>
    </w:rPr>
  </w:style>
  <w:style w:type="paragraph" w:styleId="1184" w:customStyle="1">
    <w:name w:val="Обычный (веб);Знак Знак"/>
    <w:basedOn w:val="947"/>
    <w:uiPriority w:val="99"/>
    <w:pPr>
      <w:spacing w:before="100" w:beforeAutospacing="1" w:after="100" w:afterAutospacing="1"/>
    </w:pPr>
    <w:rPr>
      <w:rFonts w:ascii="Arial Unicode MS" w:hAnsi="Arial Unicode MS" w:eastAsia="Arial Unicode MS" w:cs="Arial Unicode MS"/>
    </w:rPr>
  </w:style>
  <w:style w:type="paragraph" w:styleId="1185" w:customStyle="1">
    <w:name w:val="Style2"/>
    <w:basedOn w:val="947"/>
    <w:uiPriority w:val="99"/>
    <w:pPr>
      <w:jc w:val="both"/>
      <w:widowControl w:val="off"/>
    </w:pPr>
  </w:style>
  <w:style w:type="paragraph" w:styleId="1186" w:customStyle="1">
    <w:name w:val="Style3"/>
    <w:basedOn w:val="947"/>
    <w:uiPriority w:val="99"/>
    <w:pPr>
      <w:jc w:val="both"/>
      <w:spacing w:line="320" w:lineRule="exact"/>
      <w:widowControl w:val="off"/>
    </w:pPr>
  </w:style>
  <w:style w:type="paragraph" w:styleId="1187" w:customStyle="1">
    <w:name w:val="Style5"/>
    <w:basedOn w:val="947"/>
    <w:uiPriority w:val="99"/>
    <w:pPr>
      <w:ind w:firstLine="727"/>
      <w:jc w:val="both"/>
      <w:spacing w:line="320" w:lineRule="exact"/>
      <w:widowControl w:val="off"/>
    </w:pPr>
  </w:style>
  <w:style w:type="paragraph" w:styleId="1188" w:customStyle="1">
    <w:name w:val="Style10"/>
    <w:basedOn w:val="947"/>
    <w:uiPriority w:val="99"/>
    <w:pPr>
      <w:ind w:firstLine="706"/>
      <w:jc w:val="both"/>
      <w:spacing w:line="324" w:lineRule="exact"/>
      <w:widowControl w:val="off"/>
    </w:pPr>
  </w:style>
  <w:style w:type="paragraph" w:styleId="1189" w:customStyle="1">
    <w:name w:val="Style19"/>
    <w:basedOn w:val="947"/>
    <w:uiPriority w:val="99"/>
    <w:pPr>
      <w:spacing w:line="320" w:lineRule="exact"/>
      <w:widowControl w:val="off"/>
    </w:pPr>
  </w:style>
  <w:style w:type="paragraph" w:styleId="1190" w:customStyle="1">
    <w:name w:val="Style25"/>
    <w:basedOn w:val="947"/>
    <w:uiPriority w:val="99"/>
    <w:pPr>
      <w:widowControl w:val="off"/>
    </w:pPr>
  </w:style>
  <w:style w:type="paragraph" w:styleId="1191" w:customStyle="1">
    <w:name w:val="Style32"/>
    <w:basedOn w:val="947"/>
    <w:uiPriority w:val="99"/>
    <w:pPr>
      <w:jc w:val="both"/>
      <w:widowControl w:val="off"/>
    </w:pPr>
  </w:style>
  <w:style w:type="character" w:styleId="1192" w:customStyle="1">
    <w:name w:val="Font Style51"/>
    <w:uiPriority w:val="99"/>
    <w:rPr>
      <w:rFonts w:ascii="Times New Roman" w:hAnsi="Times New Roman"/>
      <w:b/>
      <w:sz w:val="26"/>
    </w:rPr>
  </w:style>
  <w:style w:type="character" w:styleId="1193" w:customStyle="1">
    <w:name w:val="Font Style53"/>
    <w:uiPriority w:val="99"/>
    <w:rPr>
      <w:rFonts w:ascii="Times New Roman" w:hAnsi="Times New Roman"/>
      <w:sz w:val="26"/>
    </w:rPr>
  </w:style>
  <w:style w:type="paragraph" w:styleId="1194" w:customStyle="1">
    <w:name w:val="ConsPlusNormal"/>
    <w:pPr>
      <w:ind w:firstLine="720"/>
    </w:pPr>
    <w:rPr>
      <w:rFonts w:ascii="Arial" w:hAnsi="Arial" w:cs="Arial"/>
    </w:rPr>
  </w:style>
  <w:style w:type="paragraph" w:styleId="1195" w:customStyle="1">
    <w:name w:val="ConsPlusNonformat"/>
    <w:pPr>
      <w:widowControl w:val="off"/>
    </w:pPr>
    <w:rPr>
      <w:rFonts w:ascii="Courier New" w:hAnsi="Courier New" w:cs="Courier New"/>
    </w:rPr>
  </w:style>
  <w:style w:type="paragraph" w:styleId="1196" w:customStyle="1">
    <w:name w:val="ConsPlusCell"/>
    <w:uiPriority w:val="99"/>
    <w:pPr>
      <w:widowControl w:val="off"/>
    </w:pPr>
    <w:rPr>
      <w:rFonts w:ascii="Arial" w:hAnsi="Arial" w:cs="Arial"/>
    </w:rPr>
  </w:style>
  <w:style w:type="paragraph" w:styleId="1197" w:customStyle="1">
    <w:name w:val="Heading"/>
    <w:rPr>
      <w:rFonts w:ascii="Arial" w:hAnsi="Arial"/>
      <w:b/>
      <w:sz w:val="22"/>
    </w:rPr>
  </w:style>
  <w:style w:type="paragraph" w:styleId="1198" w:customStyle="1">
    <w:name w:val="Style4"/>
    <w:basedOn w:val="947"/>
    <w:uiPriority w:val="99"/>
    <w:pPr>
      <w:widowControl w:val="off"/>
    </w:pPr>
  </w:style>
  <w:style w:type="paragraph" w:styleId="1199" w:customStyle="1">
    <w:name w:val="Style6"/>
    <w:basedOn w:val="947"/>
    <w:uiPriority w:val="99"/>
    <w:pPr>
      <w:jc w:val="center"/>
      <w:widowControl w:val="off"/>
    </w:pPr>
  </w:style>
  <w:style w:type="paragraph" w:styleId="1200" w:customStyle="1">
    <w:name w:val="Style9"/>
    <w:basedOn w:val="947"/>
    <w:uiPriority w:val="99"/>
    <w:pPr>
      <w:widowControl w:val="off"/>
    </w:pPr>
  </w:style>
  <w:style w:type="paragraph" w:styleId="1201" w:customStyle="1">
    <w:name w:val="Style12"/>
    <w:basedOn w:val="947"/>
    <w:uiPriority w:val="99"/>
    <w:pPr>
      <w:jc w:val="both"/>
      <w:spacing w:line="346" w:lineRule="exact"/>
      <w:widowControl w:val="off"/>
    </w:pPr>
  </w:style>
  <w:style w:type="paragraph" w:styleId="1202" w:customStyle="1">
    <w:name w:val="Style13"/>
    <w:basedOn w:val="947"/>
    <w:uiPriority w:val="99"/>
    <w:pPr>
      <w:jc w:val="center"/>
      <w:spacing w:line="281" w:lineRule="exact"/>
      <w:widowControl w:val="off"/>
    </w:pPr>
  </w:style>
  <w:style w:type="paragraph" w:styleId="1203" w:customStyle="1">
    <w:name w:val="Style14"/>
    <w:basedOn w:val="947"/>
    <w:uiPriority w:val="99"/>
    <w:pPr>
      <w:jc w:val="center"/>
      <w:spacing w:line="230" w:lineRule="exact"/>
      <w:widowControl w:val="off"/>
    </w:pPr>
  </w:style>
  <w:style w:type="character" w:styleId="1204" w:customStyle="1">
    <w:name w:val="Font Style17"/>
    <w:uiPriority w:val="99"/>
    <w:rPr>
      <w:rFonts w:ascii="Times New Roman" w:hAnsi="Times New Roman"/>
      <w:b/>
      <w:sz w:val="22"/>
    </w:rPr>
  </w:style>
  <w:style w:type="character" w:styleId="1205" w:customStyle="1">
    <w:name w:val="Font Style18"/>
    <w:uiPriority w:val="99"/>
    <w:rPr>
      <w:rFonts w:ascii="Times New Roman" w:hAnsi="Times New Roman"/>
      <w:sz w:val="22"/>
    </w:rPr>
  </w:style>
  <w:style w:type="character" w:styleId="1206" w:customStyle="1">
    <w:name w:val="Font Style20"/>
    <w:uiPriority w:val="99"/>
    <w:rPr>
      <w:rFonts w:ascii="Times New Roman" w:hAnsi="Times New Roman"/>
      <w:sz w:val="18"/>
    </w:rPr>
  </w:style>
  <w:style w:type="character" w:styleId="1207" w:customStyle="1">
    <w:name w:val="Текст концевой сноски Знак"/>
    <w:link w:val="1115"/>
    <w:uiPriority w:val="99"/>
    <w:rPr>
      <w:rFonts w:ascii="Times New Roman" w:hAnsi="Times New Roman" w:cs="Times New Roman"/>
      <w:sz w:val="20"/>
      <w:szCs w:val="20"/>
    </w:rPr>
  </w:style>
  <w:style w:type="character" w:styleId="1208" w:customStyle="1">
    <w:name w:val="Заголовок Знак"/>
    <w:link w:val="971"/>
    <w:rPr>
      <w:rFonts w:ascii="Times New Roman" w:hAnsi="Times New Roman" w:cs="Times New Roman"/>
      <w:color w:val="000000"/>
      <w:spacing w:val="2"/>
      <w:sz w:val="30"/>
      <w:szCs w:val="30"/>
      <w:shd w:val="clear" w:color="auto" w:fill="ffffff"/>
    </w:rPr>
  </w:style>
  <w:style w:type="paragraph" w:styleId="1209" w:customStyle="1">
    <w:name w:val="ConsNonformat"/>
    <w:uiPriority w:val="99"/>
    <w:pPr>
      <w:ind w:right="19772"/>
    </w:pPr>
    <w:rPr>
      <w:rFonts w:ascii="Courier New" w:hAnsi="Courier New" w:cs="Courier New"/>
    </w:rPr>
  </w:style>
  <w:style w:type="paragraph" w:styleId="1210" w:customStyle="1">
    <w:name w:val="Personal Name"/>
    <w:basedOn w:val="971"/>
    <w:uiPriority w:val="99"/>
    <w:pPr>
      <w:contextualSpacing/>
      <w:ind w:right="0"/>
      <w:jc w:val="left"/>
      <w:spacing w:after="120" w:line="240" w:lineRule="auto"/>
      <w:widowControl/>
    </w:pPr>
    <w:rPr>
      <w:rFonts w:ascii="Impact" w:hAnsi="Impact"/>
      <w:b/>
      <w:caps/>
      <w:spacing w:val="30"/>
      <w:sz w:val="28"/>
      <w:szCs w:val="28"/>
    </w:rPr>
  </w:style>
  <w:style w:type="character" w:styleId="1211" w:customStyle="1">
    <w:name w:val="Подзаголовок Знак"/>
    <w:link w:val="973"/>
    <w:uiPriority w:val="99"/>
    <w:rPr>
      <w:rFonts w:cs="Times New Roman"/>
      <w:iCs/>
      <w:color w:val="303030"/>
      <w:sz w:val="24"/>
      <w:szCs w:val="24"/>
      <w:lang w:bidi="hi-IN"/>
    </w:rPr>
  </w:style>
  <w:style w:type="character" w:styleId="1212" w:customStyle="1">
    <w:name w:val="Без интервала Знак"/>
    <w:link w:val="970"/>
    <w:uiPriority w:val="99"/>
    <w:rPr>
      <w:sz w:val="22"/>
      <w:lang w:eastAsia="en-US"/>
    </w:rPr>
  </w:style>
  <w:style w:type="character" w:styleId="1213" w:customStyle="1">
    <w:name w:val="Цитата 2 Знак"/>
    <w:link w:val="975"/>
    <w:uiPriority w:val="99"/>
    <w:rPr>
      <w:rFonts w:cs="Times New Roman"/>
      <w:b/>
      <w:i/>
      <w:iCs/>
      <w:color w:val="ad0101"/>
      <w:sz w:val="20"/>
      <w:szCs w:val="20"/>
      <w:lang w:bidi="hi-IN"/>
    </w:rPr>
  </w:style>
  <w:style w:type="character" w:styleId="1214" w:customStyle="1">
    <w:name w:val="Выделенная цитата Знак"/>
    <w:link w:val="977"/>
    <w:uiPriority w:val="99"/>
    <w:rPr>
      <w:rFonts w:ascii="Impact" w:hAnsi="Impact" w:cs="Times New Roman"/>
      <w:bCs/>
      <w:iCs/>
      <w:color w:val="ffffff"/>
      <w:sz w:val="20"/>
      <w:szCs w:val="20"/>
      <w:shd w:val="clear" w:color="auto" w:fill="ad0101"/>
      <w:lang w:bidi="hi-IN"/>
    </w:rPr>
  </w:style>
  <w:style w:type="character" w:styleId="1215">
    <w:name w:val="Subtle Emphasis"/>
    <w:uiPriority w:val="99"/>
    <w:qFormat/>
    <w:rPr>
      <w:rFonts w:cs="Times New Roman"/>
      <w:i/>
      <w:color w:val="000000"/>
    </w:rPr>
  </w:style>
  <w:style w:type="character" w:styleId="1216">
    <w:name w:val="Intense Emphasis"/>
    <w:uiPriority w:val="99"/>
    <w:qFormat/>
    <w:rPr>
      <w:rFonts w:cs="Times New Roman"/>
      <w:b/>
      <w:i/>
      <w:color w:val="ad0101"/>
    </w:rPr>
  </w:style>
  <w:style w:type="character" w:styleId="1217">
    <w:name w:val="Subtle Reference"/>
    <w:uiPriority w:val="99"/>
    <w:qFormat/>
    <w:rPr>
      <w:rFonts w:cs="Times New Roman"/>
      <w:smallCaps/>
      <w:color w:val="000000"/>
      <w:u w:val="single"/>
    </w:rPr>
  </w:style>
  <w:style w:type="character" w:styleId="1218">
    <w:name w:val="Intense Reference"/>
    <w:uiPriority w:val="99"/>
    <w:qFormat/>
    <w:rPr>
      <w:rFonts w:cs="Times New Roman"/>
      <w:smallCaps/>
      <w:color w:val="ad0101"/>
      <w:spacing w:val="5"/>
      <w:u w:val="single"/>
    </w:rPr>
  </w:style>
  <w:style w:type="character" w:styleId="1219">
    <w:name w:val="Book Title"/>
    <w:uiPriority w:val="99"/>
    <w:qFormat/>
    <w:rPr>
      <w:rFonts w:cs="Times New Roman"/>
      <w:b/>
      <w:caps/>
      <w:color w:val="303030"/>
      <w:spacing w:val="10"/>
    </w:rPr>
  </w:style>
  <w:style w:type="paragraph" w:styleId="1220" w:customStyle="1">
    <w:name w:val="FR1"/>
    <w:pPr>
      <w:ind w:left="3120"/>
      <w:widowControl w:val="off"/>
    </w:pPr>
    <w:rPr>
      <w:rFonts w:ascii="Times New Roman" w:hAnsi="Times New Roman"/>
      <w:sz w:val="24"/>
    </w:rPr>
  </w:style>
  <w:style w:type="paragraph" w:styleId="1221" w:customStyle="1">
    <w:name w:val="ConsCell"/>
    <w:uiPriority w:val="99"/>
    <w:pPr>
      <w:ind w:right="19772"/>
    </w:pPr>
    <w:rPr>
      <w:rFonts w:ascii="Arial" w:hAnsi="Arial" w:cs="Arial"/>
    </w:rPr>
  </w:style>
  <w:style w:type="paragraph" w:styleId="1222" w:customStyle="1">
    <w:name w:val="Стиль1"/>
    <w:basedOn w:val="947"/>
    <w:uiPriority w:val="99"/>
    <w:pPr>
      <w:ind w:firstLine="680"/>
    </w:pPr>
    <w:rPr>
      <w:szCs w:val="20"/>
    </w:rPr>
  </w:style>
  <w:style w:type="paragraph" w:styleId="1223">
    <w:name w:val="Plain Text"/>
    <w:basedOn w:val="947"/>
    <w:link w:val="1224"/>
    <w:rPr>
      <w:rFonts w:ascii="Courier New" w:hAnsi="Courier New"/>
      <w:sz w:val="20"/>
      <w:szCs w:val="20"/>
    </w:rPr>
  </w:style>
  <w:style w:type="character" w:styleId="1224" w:customStyle="1">
    <w:name w:val="Текст Знак"/>
    <w:link w:val="1223"/>
    <w:rPr>
      <w:rFonts w:ascii="Courier New" w:hAnsi="Courier New" w:cs="Times New Roman"/>
      <w:sz w:val="20"/>
      <w:szCs w:val="20"/>
    </w:rPr>
  </w:style>
  <w:style w:type="paragraph" w:styleId="1225">
    <w:name w:val="Body Text Indent 3"/>
    <w:basedOn w:val="947"/>
    <w:link w:val="1226"/>
    <w:pPr>
      <w:ind w:left="283"/>
      <w:spacing w:after="120"/>
    </w:pPr>
    <w:rPr>
      <w:sz w:val="16"/>
      <w:szCs w:val="16"/>
    </w:rPr>
  </w:style>
  <w:style w:type="character" w:styleId="1226" w:customStyle="1">
    <w:name w:val="Основной текст с отступом 3 Знак"/>
    <w:link w:val="1225"/>
    <w:uiPriority w:val="99"/>
    <w:rPr>
      <w:rFonts w:ascii="Times New Roman" w:hAnsi="Times New Roman" w:cs="Times New Roman"/>
      <w:sz w:val="16"/>
      <w:szCs w:val="16"/>
    </w:rPr>
  </w:style>
  <w:style w:type="paragraph" w:styleId="1227" w:customStyle="1">
    <w:name w:val="Обычный1"/>
    <w:rPr>
      <w:rFonts w:ascii="Times New Roman" w:hAnsi="Times New Roman"/>
    </w:rPr>
  </w:style>
  <w:style w:type="paragraph" w:styleId="1228" w:customStyle="1">
    <w:name w:val="НормСтр"/>
    <w:uiPriority w:val="99"/>
    <w:pPr>
      <w:spacing w:line="360" w:lineRule="auto"/>
    </w:pPr>
    <w:rPr>
      <w:rFonts w:ascii="Times New Roman" w:hAnsi="Times New Roman"/>
      <w:sz w:val="24"/>
      <w:lang w:eastAsia="en-US"/>
    </w:rPr>
  </w:style>
  <w:style w:type="paragraph" w:styleId="1229" w:customStyle="1">
    <w:name w:val="КрасСтр"/>
    <w:uiPriority w:val="99"/>
    <w:pPr>
      <w:ind w:firstLine="737"/>
      <w:jc w:val="both"/>
      <w:spacing w:line="360" w:lineRule="auto"/>
    </w:pPr>
    <w:rPr>
      <w:rFonts w:ascii="Times New Roman" w:hAnsi="Times New Roman"/>
      <w:sz w:val="24"/>
      <w:lang w:eastAsia="en-US"/>
    </w:rPr>
  </w:style>
  <w:style w:type="paragraph" w:styleId="1230" w:customStyle="1">
    <w:name w:val="ЗаголТу"/>
    <w:basedOn w:val="1229"/>
    <w:next w:val="1229"/>
    <w:uiPriority w:val="99"/>
    <w:pPr>
      <w:ind w:firstLine="0"/>
      <w:jc w:val="center"/>
      <w:pageBreakBefore/>
    </w:pPr>
    <w:rPr>
      <w:caps/>
    </w:rPr>
  </w:style>
  <w:style w:type="paragraph" w:styleId="1231" w:customStyle="1">
    <w:name w:val="H3"/>
    <w:basedOn w:val="947"/>
    <w:next w:val="947"/>
    <w:uiPriority w:val="99"/>
    <w:pPr>
      <w:keepNext/>
      <w:spacing w:before="100" w:after="100"/>
      <w:outlineLvl w:val="3"/>
    </w:pPr>
    <w:rPr>
      <w:b/>
      <w:sz w:val="28"/>
      <w:szCs w:val="20"/>
    </w:rPr>
  </w:style>
  <w:style w:type="paragraph" w:styleId="1232" w:customStyle="1">
    <w:name w:val="H4"/>
    <w:basedOn w:val="947"/>
    <w:next w:val="947"/>
    <w:uiPriority w:val="99"/>
    <w:pPr>
      <w:keepNext/>
      <w:spacing w:before="100" w:after="100"/>
      <w:outlineLvl w:val="4"/>
    </w:pPr>
    <w:rPr>
      <w:b/>
      <w:szCs w:val="20"/>
    </w:rPr>
  </w:style>
  <w:style w:type="paragraph" w:styleId="1233">
    <w:name w:val="Body Text 3"/>
    <w:basedOn w:val="947"/>
    <w:link w:val="1234"/>
    <w:pPr>
      <w:jc w:val="both"/>
    </w:pPr>
    <w:rPr>
      <w:szCs w:val="20"/>
    </w:rPr>
  </w:style>
  <w:style w:type="character" w:styleId="1234" w:customStyle="1">
    <w:name w:val="Основной текст 3 Знак"/>
    <w:link w:val="1233"/>
    <w:uiPriority w:val="99"/>
    <w:rPr>
      <w:rFonts w:ascii="Times New Roman" w:hAnsi="Times New Roman" w:cs="Times New Roman"/>
      <w:sz w:val="20"/>
      <w:szCs w:val="20"/>
    </w:rPr>
  </w:style>
  <w:style w:type="character" w:styleId="1235">
    <w:name w:val="FollowedHyperlink"/>
    <w:uiPriority w:val="99"/>
    <w:rPr>
      <w:rFonts w:cs="Times New Roman"/>
      <w:color w:val="800080"/>
      <w:u w:val="single"/>
    </w:rPr>
  </w:style>
  <w:style w:type="paragraph" w:styleId="1236">
    <w:name w:val="HTML Preformatted"/>
    <w:basedOn w:val="947"/>
    <w:link w:val="1237"/>
    <w:uiPriority w:val="99"/>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character" w:styleId="1237" w:customStyle="1">
    <w:name w:val="Стандартный HTML Знак"/>
    <w:link w:val="1236"/>
    <w:uiPriority w:val="99"/>
    <w:rPr>
      <w:rFonts w:ascii="Courier New" w:hAnsi="Courier New" w:cs="Courier New"/>
      <w:sz w:val="20"/>
      <w:szCs w:val="20"/>
    </w:rPr>
  </w:style>
  <w:style w:type="paragraph" w:styleId="1238">
    <w:name w:val="List Bullet 2"/>
    <w:basedOn w:val="947"/>
    <w:uiPriority w:val="99"/>
    <w:pPr>
      <w:numPr>
        <w:ilvl w:val="0"/>
        <w:numId w:val="5"/>
      </w:numPr>
    </w:pPr>
    <w:rPr>
      <w:sz w:val="20"/>
      <w:szCs w:val="20"/>
    </w:rPr>
  </w:style>
  <w:style w:type="paragraph" w:styleId="1239">
    <w:name w:val="List"/>
    <w:basedOn w:val="947"/>
    <w:uiPriority w:val="99"/>
    <w:pPr>
      <w:ind w:left="283" w:hanging="283"/>
    </w:pPr>
  </w:style>
  <w:style w:type="paragraph" w:styleId="1240">
    <w:name w:val="List 2"/>
    <w:basedOn w:val="947"/>
    <w:uiPriority w:val="99"/>
    <w:pPr>
      <w:ind w:left="566" w:hanging="283"/>
    </w:pPr>
  </w:style>
  <w:style w:type="paragraph" w:styleId="1241">
    <w:name w:val="List Bullet"/>
    <w:basedOn w:val="947"/>
    <w:uiPriority w:val="99"/>
    <w:pPr>
      <w:numPr>
        <w:ilvl w:val="0"/>
        <w:numId w:val="1"/>
      </w:numPr>
    </w:pPr>
    <w:rPr>
      <w:sz w:val="20"/>
      <w:szCs w:val="20"/>
      <w:lang w:eastAsia="en-US"/>
    </w:rPr>
  </w:style>
  <w:style w:type="paragraph" w:styleId="1242" w:customStyle="1">
    <w:name w:val="Paragraph2"/>
    <w:basedOn w:val="947"/>
    <w:uiPriority w:val="99"/>
    <w:pPr>
      <w:keepNext/>
      <w:spacing w:after="120"/>
      <w:tabs>
        <w:tab w:val="left" w:pos="1571" w:leader="none"/>
      </w:tabs>
    </w:pPr>
    <w:rPr>
      <w:szCs w:val="20"/>
    </w:rPr>
  </w:style>
  <w:style w:type="character" w:styleId="1243" w:customStyle="1">
    <w:name w:val="tx1"/>
    <w:uiPriority w:val="99"/>
    <w:rPr>
      <w:rFonts w:ascii="Tahoma" w:hAnsi="Tahoma" w:cs="Tahoma"/>
      <w:b/>
      <w:bCs/>
      <w:color w:val="000000"/>
      <w:sz w:val="17"/>
      <w:szCs w:val="17"/>
    </w:rPr>
  </w:style>
  <w:style w:type="character" w:styleId="1244" w:customStyle="1">
    <w:name w:val="Document Map Char"/>
    <w:uiPriority w:val="99"/>
    <w:semiHidden/>
    <w:rPr>
      <w:rFonts w:ascii="Tahoma" w:hAnsi="Tahoma"/>
      <w:sz w:val="20"/>
      <w:shd w:val="clear" w:color="auto" w:fill="000080"/>
    </w:rPr>
  </w:style>
  <w:style w:type="paragraph" w:styleId="1245">
    <w:name w:val="Document Map"/>
    <w:basedOn w:val="947"/>
    <w:link w:val="1246"/>
    <w:uiPriority w:val="99"/>
    <w:semiHidden/>
    <w:pPr>
      <w:ind w:firstLine="320"/>
      <w:jc w:val="both"/>
      <w:shd w:val="clear" w:color="auto" w:fill="000080"/>
      <w:widowControl w:val="off"/>
    </w:pPr>
    <w:rPr>
      <w:rFonts w:ascii="Tahoma" w:hAnsi="Tahoma"/>
      <w:sz w:val="20"/>
      <w:szCs w:val="20"/>
    </w:rPr>
  </w:style>
  <w:style w:type="character" w:styleId="1246" w:customStyle="1">
    <w:name w:val="Схема документа Знак"/>
    <w:link w:val="1245"/>
    <w:uiPriority w:val="99"/>
    <w:semiHidden/>
    <w:rPr>
      <w:rFonts w:ascii="Times New Roman" w:hAnsi="Times New Roman" w:cs="Times New Roman"/>
      <w:sz w:val="2"/>
    </w:rPr>
  </w:style>
  <w:style w:type="paragraph" w:styleId="1247" w:customStyle="1">
    <w:name w:val="headertext topleveltext centertext"/>
    <w:basedOn w:val="947"/>
    <w:uiPriority w:val="99"/>
    <w:pPr>
      <w:spacing w:before="100" w:beforeAutospacing="1" w:after="100" w:afterAutospacing="1"/>
    </w:pPr>
  </w:style>
  <w:style w:type="paragraph" w:styleId="1248" w:customStyle="1">
    <w:name w:val="Абзац списка1"/>
    <w:basedOn w:val="947"/>
    <w:uiPriority w:val="99"/>
    <w:pPr>
      <w:contextualSpacing/>
      <w:ind w:left="720"/>
      <w:jc w:val="center"/>
    </w:pPr>
    <w:rPr>
      <w:lang w:eastAsia="en-US"/>
    </w:rPr>
  </w:style>
  <w:style w:type="character" w:styleId="1249" w:customStyle="1">
    <w:name w:val="Знак Знак1"/>
    <w:uiPriority w:val="99"/>
    <w:rPr>
      <w:rFonts w:ascii="Times New Roman" w:hAnsi="Times New Roman"/>
      <w:sz w:val="24"/>
      <w:lang w:eastAsia="ru-RU"/>
    </w:rPr>
  </w:style>
  <w:style w:type="paragraph" w:styleId="1250" w:customStyle="1">
    <w:name w:val="Письмо1"/>
    <w:basedOn w:val="1223"/>
    <w:pPr>
      <w:ind w:firstLine="720"/>
      <w:jc w:val="both"/>
      <w:spacing w:after="120"/>
    </w:pPr>
    <w:rPr>
      <w:rFonts w:ascii="Times New Roman" w:hAnsi="Times New Roman"/>
      <w:color w:val="000000"/>
      <w:sz w:val="24"/>
      <w:szCs w:val="24"/>
    </w:rPr>
  </w:style>
  <w:style w:type="paragraph" w:styleId="1251">
    <w:name w:val="Block Text"/>
    <w:basedOn w:val="947"/>
    <w:pPr>
      <w:ind w:left="97" w:right="97" w:firstLine="611"/>
      <w:jc w:val="both"/>
    </w:pPr>
    <w:rPr>
      <w:color w:val="000000"/>
      <w:sz w:val="28"/>
      <w:szCs w:val="28"/>
    </w:rPr>
  </w:style>
  <w:style w:type="paragraph" w:styleId="1252" w:customStyle="1">
    <w:name w:val="Иванов"/>
    <w:basedOn w:val="1253"/>
    <w:pPr>
      <w:contextualSpacing w:val="0"/>
      <w:ind w:left="0" w:firstLine="0"/>
      <w:tabs>
        <w:tab w:val="clear" w:pos="720" w:leader="none"/>
      </w:tabs>
    </w:pPr>
    <w:rPr>
      <w:bCs/>
      <w:sz w:val="28"/>
      <w:szCs w:val="16"/>
      <w:lang w:val="en-US"/>
    </w:rPr>
  </w:style>
  <w:style w:type="paragraph" w:styleId="1253">
    <w:name w:val="List Number 5"/>
    <w:basedOn w:val="947"/>
    <w:uiPriority w:val="99"/>
    <w:semiHidden/>
    <w:pPr>
      <w:contextualSpacing/>
      <w:ind w:left="720" w:hanging="360"/>
      <w:tabs>
        <w:tab w:val="num" w:pos="720" w:leader="none"/>
      </w:tabs>
    </w:pPr>
  </w:style>
  <w:style w:type="character" w:styleId="1254" w:customStyle="1">
    <w:name w:val="match"/>
    <w:uiPriority w:val="99"/>
    <w:rPr>
      <w:rFonts w:cs="Times New Roman"/>
    </w:rPr>
  </w:style>
  <w:style w:type="paragraph" w:styleId="1255" w:customStyle="1">
    <w:name w:val="Style31"/>
    <w:basedOn w:val="947"/>
    <w:uiPriority w:val="99"/>
    <w:pPr>
      <w:ind w:firstLine="470"/>
      <w:jc w:val="both"/>
      <w:spacing w:line="240" w:lineRule="exact"/>
      <w:widowControl w:val="off"/>
    </w:pPr>
    <w:rPr>
      <w:rFonts w:ascii="Arial" w:hAnsi="Arial"/>
    </w:rPr>
  </w:style>
  <w:style w:type="character" w:styleId="1256" w:customStyle="1">
    <w:name w:val="Font Style48"/>
    <w:uiPriority w:val="99"/>
    <w:rPr>
      <w:rFonts w:ascii="Arial" w:hAnsi="Arial" w:cs="Arial"/>
      <w:sz w:val="18"/>
      <w:szCs w:val="18"/>
    </w:rPr>
  </w:style>
  <w:style w:type="paragraph" w:styleId="1257" w:customStyle="1">
    <w:name w:val="Style11"/>
    <w:basedOn w:val="947"/>
    <w:uiPriority w:val="99"/>
    <w:pPr>
      <w:ind w:firstLine="461"/>
      <w:jc w:val="both"/>
      <w:spacing w:line="240" w:lineRule="exact"/>
      <w:widowControl w:val="off"/>
    </w:pPr>
    <w:rPr>
      <w:rFonts w:ascii="Arial" w:hAnsi="Arial"/>
    </w:rPr>
  </w:style>
  <w:style w:type="paragraph" w:styleId="1258" w:customStyle="1">
    <w:name w:val="Style17"/>
    <w:basedOn w:val="947"/>
    <w:uiPriority w:val="99"/>
    <w:pPr>
      <w:widowControl w:val="off"/>
    </w:pPr>
    <w:rPr>
      <w:rFonts w:ascii="Arial" w:hAnsi="Arial"/>
    </w:rPr>
  </w:style>
  <w:style w:type="paragraph" w:styleId="1259" w:customStyle="1">
    <w:name w:val="Style20"/>
    <w:basedOn w:val="947"/>
    <w:uiPriority w:val="99"/>
    <w:pPr>
      <w:widowControl w:val="off"/>
    </w:pPr>
    <w:rPr>
      <w:rFonts w:ascii="Arial" w:hAnsi="Arial"/>
    </w:rPr>
  </w:style>
  <w:style w:type="paragraph" w:styleId="1260" w:customStyle="1">
    <w:name w:val="Style34"/>
    <w:basedOn w:val="947"/>
    <w:uiPriority w:val="99"/>
    <w:pPr>
      <w:ind w:firstLine="446"/>
      <w:spacing w:line="216" w:lineRule="exact"/>
      <w:widowControl w:val="off"/>
    </w:pPr>
    <w:rPr>
      <w:rFonts w:ascii="Arial" w:hAnsi="Arial"/>
    </w:rPr>
  </w:style>
  <w:style w:type="paragraph" w:styleId="1261" w:customStyle="1">
    <w:name w:val="Style35"/>
    <w:basedOn w:val="947"/>
    <w:uiPriority w:val="99"/>
    <w:pPr>
      <w:spacing w:line="192" w:lineRule="exact"/>
      <w:widowControl w:val="off"/>
    </w:pPr>
    <w:rPr>
      <w:rFonts w:ascii="Arial" w:hAnsi="Arial"/>
    </w:rPr>
  </w:style>
  <w:style w:type="paragraph" w:styleId="1262" w:customStyle="1">
    <w:name w:val="Style37"/>
    <w:basedOn w:val="947"/>
    <w:uiPriority w:val="99"/>
    <w:pPr>
      <w:jc w:val="center"/>
      <w:widowControl w:val="off"/>
    </w:pPr>
    <w:rPr>
      <w:rFonts w:ascii="Arial" w:hAnsi="Arial"/>
    </w:rPr>
  </w:style>
  <w:style w:type="character" w:styleId="1263" w:customStyle="1">
    <w:name w:val="Font Style45"/>
    <w:uiPriority w:val="99"/>
    <w:rPr>
      <w:rFonts w:ascii="Arial" w:hAnsi="Arial" w:cs="Arial"/>
      <w:sz w:val="16"/>
      <w:szCs w:val="16"/>
    </w:rPr>
  </w:style>
  <w:style w:type="character" w:styleId="1264" w:customStyle="1">
    <w:name w:val="Font Style47"/>
    <w:uiPriority w:val="99"/>
    <w:rPr>
      <w:rFonts w:ascii="Arial" w:hAnsi="Arial" w:cs="Arial"/>
      <w:b/>
      <w:bCs/>
      <w:sz w:val="18"/>
      <w:szCs w:val="18"/>
    </w:rPr>
  </w:style>
  <w:style w:type="character" w:styleId="1265" w:customStyle="1">
    <w:name w:val="Font Style49"/>
    <w:uiPriority w:val="99"/>
    <w:rPr>
      <w:rFonts w:ascii="Arial" w:hAnsi="Arial" w:cs="Arial"/>
      <w:sz w:val="14"/>
      <w:szCs w:val="14"/>
    </w:rPr>
  </w:style>
  <w:style w:type="paragraph" w:styleId="1266" w:customStyle="1">
    <w:name w:val="Style29"/>
    <w:basedOn w:val="947"/>
    <w:uiPriority w:val="99"/>
    <w:pPr>
      <w:ind w:firstLine="470"/>
      <w:jc w:val="both"/>
      <w:spacing w:line="240" w:lineRule="exact"/>
      <w:widowControl w:val="off"/>
    </w:pPr>
    <w:rPr>
      <w:rFonts w:ascii="Arial" w:hAnsi="Arial"/>
    </w:rPr>
  </w:style>
  <w:style w:type="character" w:styleId="1267" w:customStyle="1">
    <w:name w:val="Font Style50"/>
    <w:uiPriority w:val="99"/>
    <w:rPr>
      <w:rFonts w:ascii="Arial" w:hAnsi="Arial" w:cs="Arial"/>
      <w:sz w:val="18"/>
      <w:szCs w:val="18"/>
    </w:rPr>
  </w:style>
  <w:style w:type="character" w:styleId="1268" w:customStyle="1">
    <w:name w:val="Font Style42"/>
    <w:uiPriority w:val="99"/>
    <w:rPr>
      <w:rFonts w:ascii="Arial" w:hAnsi="Arial" w:cs="Arial"/>
      <w:b/>
      <w:bCs/>
      <w:sz w:val="22"/>
      <w:szCs w:val="22"/>
    </w:rPr>
  </w:style>
  <w:style w:type="paragraph" w:styleId="1269" w:customStyle="1">
    <w:name w:val="Style33"/>
    <w:basedOn w:val="947"/>
    <w:uiPriority w:val="99"/>
    <w:pPr>
      <w:ind w:firstLine="451"/>
      <w:jc w:val="both"/>
      <w:spacing w:line="288" w:lineRule="exact"/>
      <w:widowControl w:val="off"/>
    </w:pPr>
    <w:rPr>
      <w:rFonts w:ascii="Arial" w:hAnsi="Arial"/>
    </w:rPr>
  </w:style>
  <w:style w:type="paragraph" w:styleId="1270" w:customStyle="1">
    <w:name w:val="Style1"/>
    <w:basedOn w:val="947"/>
    <w:uiPriority w:val="99"/>
    <w:pPr>
      <w:widowControl w:val="off"/>
    </w:pPr>
    <w:rPr>
      <w:rFonts w:ascii="Arial" w:hAnsi="Arial"/>
    </w:rPr>
  </w:style>
  <w:style w:type="paragraph" w:styleId="1271" w:customStyle="1">
    <w:name w:val="Style21"/>
    <w:basedOn w:val="947"/>
    <w:uiPriority w:val="99"/>
    <w:pPr>
      <w:widowControl w:val="off"/>
    </w:pPr>
    <w:rPr>
      <w:rFonts w:ascii="Arial" w:hAnsi="Arial"/>
    </w:rPr>
  </w:style>
  <w:style w:type="paragraph" w:styleId="1272" w:customStyle="1">
    <w:name w:val="Style27"/>
    <w:basedOn w:val="947"/>
    <w:uiPriority w:val="99"/>
    <w:pPr>
      <w:jc w:val="both"/>
      <w:spacing w:line="186" w:lineRule="exact"/>
      <w:widowControl w:val="off"/>
    </w:pPr>
    <w:rPr>
      <w:rFonts w:ascii="Arial" w:hAnsi="Arial"/>
    </w:rPr>
  </w:style>
  <w:style w:type="character" w:styleId="1273" w:customStyle="1">
    <w:name w:val="Font Style43"/>
    <w:uiPriority w:val="99"/>
    <w:rPr>
      <w:rFonts w:ascii="Arial" w:hAnsi="Arial" w:cs="Arial"/>
      <w:sz w:val="16"/>
      <w:szCs w:val="16"/>
    </w:rPr>
  </w:style>
  <w:style w:type="paragraph" w:styleId="1274" w:customStyle="1">
    <w:name w:val="Style23"/>
    <w:basedOn w:val="947"/>
    <w:uiPriority w:val="99"/>
    <w:pPr>
      <w:widowControl w:val="off"/>
    </w:pPr>
    <w:rPr>
      <w:rFonts w:ascii="Arial" w:hAnsi="Arial"/>
    </w:rPr>
  </w:style>
  <w:style w:type="character" w:styleId="1275" w:customStyle="1">
    <w:name w:val="Font Style40"/>
    <w:uiPriority w:val="99"/>
    <w:rPr>
      <w:rFonts w:ascii="Candara" w:hAnsi="Candara" w:cs="Candara"/>
      <w:b/>
      <w:bCs/>
      <w:sz w:val="14"/>
      <w:szCs w:val="14"/>
    </w:rPr>
  </w:style>
  <w:style w:type="character" w:styleId="1276" w:customStyle="1">
    <w:name w:val="Font Style41"/>
    <w:uiPriority w:val="99"/>
    <w:rPr>
      <w:rFonts w:ascii="Arial" w:hAnsi="Arial" w:cs="Arial"/>
      <w:sz w:val="16"/>
      <w:szCs w:val="16"/>
    </w:rPr>
  </w:style>
  <w:style w:type="paragraph" w:styleId="1277" w:customStyle="1">
    <w:name w:val="Style18"/>
    <w:basedOn w:val="947"/>
    <w:uiPriority w:val="99"/>
    <w:pPr>
      <w:widowControl w:val="off"/>
    </w:pPr>
    <w:rPr>
      <w:rFonts w:ascii="Arial" w:hAnsi="Arial"/>
    </w:rPr>
  </w:style>
  <w:style w:type="paragraph" w:styleId="1278" w:customStyle="1">
    <w:name w:val="Style22"/>
    <w:basedOn w:val="947"/>
    <w:uiPriority w:val="99"/>
    <w:pPr>
      <w:spacing w:line="278" w:lineRule="exact"/>
      <w:widowControl w:val="off"/>
    </w:pPr>
    <w:rPr>
      <w:rFonts w:ascii="Arial" w:hAnsi="Arial"/>
    </w:rPr>
  </w:style>
  <w:style w:type="character" w:styleId="1279" w:customStyle="1">
    <w:name w:val="Текст сноски Знак"/>
    <w:link w:val="1112"/>
    <w:uiPriority w:val="99"/>
    <w:semiHidden/>
    <w:rPr>
      <w:rFonts w:cs="Times New Roman"/>
      <w:sz w:val="20"/>
      <w:szCs w:val="20"/>
    </w:rPr>
  </w:style>
  <w:style w:type="paragraph" w:styleId="1280" w:customStyle="1">
    <w:name w:val="Body Text 21"/>
    <w:basedOn w:val="947"/>
    <w:uiPriority w:val="99"/>
    <w:pPr>
      <w:ind w:firstLine="709"/>
      <w:jc w:val="both"/>
    </w:pPr>
    <w:rPr>
      <w:szCs w:val="20"/>
    </w:rPr>
  </w:style>
  <w:style w:type="paragraph" w:styleId="1281" w:customStyle="1">
    <w:name w:val="Body Text Indent 21"/>
    <w:basedOn w:val="947"/>
    <w:uiPriority w:val="99"/>
    <w:pPr>
      <w:ind w:firstLine="720"/>
    </w:pPr>
    <w:rPr>
      <w:position w:val="-4"/>
      <w:szCs w:val="20"/>
    </w:rPr>
  </w:style>
  <w:style w:type="paragraph" w:styleId="1282" w:customStyle="1">
    <w:name w:val="Normal1"/>
    <w:uiPriority w:val="99"/>
    <w:rPr>
      <w:rFonts w:ascii="Times New Roman" w:hAnsi="Times New Roman"/>
      <w:sz w:val="24"/>
    </w:rPr>
  </w:style>
  <w:style w:type="paragraph" w:styleId="1283" w:customStyle="1">
    <w:name w:val="çàãîëîâîê 7"/>
    <w:basedOn w:val="947"/>
    <w:next w:val="947"/>
    <w:pPr>
      <w:jc w:val="center"/>
      <w:keepNext/>
    </w:pPr>
    <w:rPr>
      <w:szCs w:val="20"/>
    </w:rPr>
  </w:style>
  <w:style w:type="paragraph" w:styleId="1284" w:customStyle="1">
    <w:name w:val="Style16"/>
    <w:basedOn w:val="947"/>
    <w:uiPriority w:val="99"/>
    <w:pPr>
      <w:jc w:val="both"/>
      <w:widowControl w:val="off"/>
    </w:pPr>
    <w:rPr>
      <w:rFonts w:ascii="Arial" w:hAnsi="Arial"/>
    </w:rPr>
  </w:style>
  <w:style w:type="paragraph" w:styleId="1285" w:customStyle="1">
    <w:name w:val="Style28"/>
    <w:basedOn w:val="947"/>
    <w:uiPriority w:val="99"/>
    <w:pPr>
      <w:ind w:hanging="451"/>
      <w:spacing w:line="235" w:lineRule="exact"/>
      <w:widowControl w:val="off"/>
    </w:pPr>
    <w:rPr>
      <w:rFonts w:ascii="Arial" w:hAnsi="Arial"/>
    </w:rPr>
  </w:style>
  <w:style w:type="paragraph" w:styleId="1286" w:customStyle="1">
    <w:name w:val="Style30"/>
    <w:basedOn w:val="947"/>
    <w:uiPriority w:val="99"/>
    <w:pPr>
      <w:ind w:firstLine="470"/>
      <w:jc w:val="both"/>
      <w:spacing w:line="247" w:lineRule="exact"/>
      <w:widowControl w:val="off"/>
    </w:pPr>
    <w:rPr>
      <w:rFonts w:ascii="Arial" w:hAnsi="Arial"/>
    </w:rPr>
  </w:style>
  <w:style w:type="character" w:styleId="1287" w:customStyle="1">
    <w:name w:val="Font Style37"/>
    <w:uiPriority w:val="99"/>
    <w:rPr>
      <w:rFonts w:ascii="Constantia" w:hAnsi="Constantia" w:cs="Constantia"/>
      <w:sz w:val="18"/>
      <w:szCs w:val="18"/>
    </w:rPr>
  </w:style>
  <w:style w:type="character" w:styleId="1288" w:customStyle="1">
    <w:name w:val="Font Style38"/>
    <w:uiPriority w:val="99"/>
    <w:rPr>
      <w:rFonts w:ascii="Arial" w:hAnsi="Arial" w:cs="Arial"/>
      <w:b/>
      <w:bCs/>
      <w:i/>
      <w:iCs/>
      <w:sz w:val="8"/>
      <w:szCs w:val="8"/>
    </w:rPr>
  </w:style>
  <w:style w:type="character" w:styleId="1289" w:customStyle="1">
    <w:name w:val="Font Style39"/>
    <w:uiPriority w:val="99"/>
    <w:rPr>
      <w:rFonts w:ascii="Arial" w:hAnsi="Arial" w:cs="Arial"/>
      <w:spacing w:val="-20"/>
      <w:sz w:val="20"/>
      <w:szCs w:val="20"/>
    </w:rPr>
  </w:style>
  <w:style w:type="character" w:styleId="1290" w:customStyle="1">
    <w:name w:val="Font Style46"/>
    <w:uiPriority w:val="99"/>
    <w:rPr>
      <w:rFonts w:ascii="Arial" w:hAnsi="Arial" w:cs="Arial"/>
      <w:b/>
      <w:bCs/>
      <w:sz w:val="22"/>
      <w:szCs w:val="22"/>
    </w:rPr>
  </w:style>
  <w:style w:type="paragraph" w:styleId="1291" w:customStyle="1">
    <w:name w:val="Style24"/>
    <w:basedOn w:val="947"/>
    <w:uiPriority w:val="99"/>
    <w:pPr>
      <w:widowControl w:val="off"/>
    </w:pPr>
    <w:rPr>
      <w:rFonts w:ascii="Arial" w:hAnsi="Arial"/>
    </w:rPr>
  </w:style>
  <w:style w:type="character" w:styleId="1292" w:customStyle="1">
    <w:name w:val="Font Style31"/>
    <w:uiPriority w:val="99"/>
    <w:rPr>
      <w:rFonts w:ascii="Arial" w:hAnsi="Arial" w:cs="Arial"/>
      <w:sz w:val="18"/>
      <w:szCs w:val="18"/>
    </w:rPr>
  </w:style>
  <w:style w:type="character" w:styleId="1293" w:customStyle="1">
    <w:name w:val="Font Style32"/>
    <w:uiPriority w:val="99"/>
    <w:rPr>
      <w:rFonts w:ascii="Arial" w:hAnsi="Arial" w:cs="Arial"/>
      <w:sz w:val="14"/>
      <w:szCs w:val="14"/>
    </w:rPr>
  </w:style>
  <w:style w:type="paragraph" w:styleId="1294" w:customStyle="1">
    <w:name w:val="Style7"/>
    <w:basedOn w:val="947"/>
    <w:uiPriority w:val="99"/>
    <w:pPr>
      <w:jc w:val="center"/>
      <w:spacing w:line="432" w:lineRule="exact"/>
      <w:widowControl w:val="off"/>
    </w:pPr>
    <w:rPr>
      <w:rFonts w:ascii="Arial" w:hAnsi="Arial"/>
    </w:rPr>
  </w:style>
  <w:style w:type="character" w:styleId="1295" w:customStyle="1">
    <w:name w:val="Font Style36"/>
    <w:uiPriority w:val="99"/>
    <w:rPr>
      <w:rFonts w:ascii="Arial" w:hAnsi="Arial" w:cs="Arial"/>
      <w:b/>
      <w:bCs/>
      <w:sz w:val="34"/>
      <w:szCs w:val="34"/>
    </w:rPr>
  </w:style>
  <w:style w:type="paragraph" w:styleId="1296">
    <w:name w:val="annotation subject"/>
    <w:basedOn w:val="1176"/>
    <w:next w:val="1176"/>
    <w:link w:val="1297"/>
    <w:semiHidden/>
    <w:pPr>
      <w:ind w:right="0" w:firstLine="0"/>
      <w:jc w:val="left"/>
      <w:spacing w:after="200" w:line="240" w:lineRule="auto"/>
      <w:widowControl/>
    </w:pPr>
    <w:rPr>
      <w:rFonts w:ascii="Calibri" w:hAnsi="Calibri"/>
      <w:b/>
      <w:bCs/>
    </w:rPr>
  </w:style>
  <w:style w:type="character" w:styleId="1297" w:customStyle="1">
    <w:name w:val="Тема примечания Знак"/>
    <w:link w:val="1296"/>
    <w:semiHidden/>
    <w:rPr>
      <w:rFonts w:ascii="Times New Roman CYR" w:hAnsi="Times New Roman CYR" w:cs="Times New Roman"/>
      <w:b/>
      <w:bCs/>
      <w:sz w:val="20"/>
      <w:szCs w:val="20"/>
    </w:rPr>
  </w:style>
  <w:style w:type="character" w:styleId="1298" w:customStyle="1">
    <w:name w:val="apple-style-span"/>
    <w:uiPriority w:val="99"/>
    <w:rPr>
      <w:rFonts w:cs="Times New Roman"/>
    </w:rPr>
  </w:style>
  <w:style w:type="paragraph" w:styleId="1299" w:customStyle="1">
    <w:name w:val="Основной текст 21"/>
    <w:basedOn w:val="947"/>
    <w:pPr>
      <w:ind w:firstLine="709"/>
      <w:jc w:val="both"/>
    </w:pPr>
    <w:rPr>
      <w:szCs w:val="20"/>
    </w:rPr>
  </w:style>
  <w:style w:type="paragraph" w:styleId="1300" w:customStyle="1">
    <w:name w:val="Без интервала1"/>
    <w:uiPriority w:val="99"/>
    <w:rPr>
      <w:rFonts w:ascii="Times New Roman" w:hAnsi="Times New Roman"/>
      <w:sz w:val="24"/>
      <w:szCs w:val="24"/>
    </w:rPr>
  </w:style>
  <w:style w:type="paragraph" w:styleId="1301" w:customStyle="1">
    <w:name w:val="center1"/>
    <w:basedOn w:val="947"/>
    <w:pPr>
      <w:spacing w:before="100" w:beforeAutospacing="1" w:after="100" w:afterAutospacing="1"/>
    </w:pPr>
  </w:style>
  <w:style w:type="numbering" w:styleId="1302" w:customStyle="1">
    <w:name w:val="Нет списка1"/>
    <w:next w:val="959"/>
    <w:semiHidden/>
  </w:style>
  <w:style w:type="paragraph" w:styleId="1303" w:customStyle="1">
    <w:name w:val="FR2"/>
    <w:pPr>
      <w:ind w:left="1640" w:hanging="1600"/>
      <w:jc w:val="both"/>
      <w:spacing w:before="200" w:line="360" w:lineRule="auto"/>
      <w:widowControl w:val="off"/>
    </w:pPr>
    <w:rPr>
      <w:rFonts w:ascii="Arial" w:hAnsi="Arial"/>
      <w:sz w:val="16"/>
    </w:rPr>
  </w:style>
  <w:style w:type="paragraph" w:styleId="1304" w:customStyle="1">
    <w:name w:val="FR3"/>
    <w:pPr>
      <w:ind w:left="1440" w:hanging="1440"/>
      <w:jc w:val="both"/>
      <w:spacing w:before="200" w:line="360" w:lineRule="auto"/>
      <w:widowControl w:val="off"/>
    </w:pPr>
    <w:rPr>
      <w:rFonts w:ascii="Courier New" w:hAnsi="Courier New"/>
      <w:sz w:val="16"/>
    </w:rPr>
  </w:style>
  <w:style w:type="numbering" w:styleId="1305" w:customStyle="1">
    <w:name w:val="Нет списка2"/>
    <w:next w:val="959"/>
    <w:uiPriority w:val="99"/>
    <w:semiHidden/>
    <w:unhideWhenUsed/>
  </w:style>
  <w:style w:type="table" w:styleId="1306" w:customStyle="1">
    <w:name w:val="Сетка таблицы1"/>
    <w:basedOn w:val="958"/>
    <w:next w:val="985"/>
    <w:uiPriority w:val="99"/>
    <w:rPr>
      <w:rFonts w:ascii="Times New Roman" w:hAnsi="Times New Roman"/>
    </w:rPr>
    <w:tblPr/>
  </w:style>
  <w:style w:type="paragraph" w:styleId="1307">
    <w:name w:val="List Number"/>
    <w:basedOn w:val="947"/>
    <w:uiPriority w:val="99"/>
    <w:pPr>
      <w:ind w:left="1080" w:hanging="720"/>
      <w:jc w:val="both"/>
      <w:spacing w:before="60" w:after="60"/>
      <w:widowControl w:val="off"/>
      <w:tabs>
        <w:tab w:val="num" w:pos="1080" w:leader="none"/>
      </w:tabs>
    </w:pPr>
    <w:rPr>
      <w:rFonts w:ascii="Arial" w:hAnsi="Arial" w:cs="Arial"/>
      <w:szCs w:val="20"/>
    </w:rPr>
  </w:style>
  <w:style w:type="paragraph" w:styleId="1308">
    <w:name w:val="List Number 2"/>
    <w:basedOn w:val="947"/>
    <w:uiPriority w:val="99"/>
    <w:pPr>
      <w:ind w:left="1440" w:hanging="720"/>
      <w:jc w:val="both"/>
      <w:spacing w:before="60" w:after="60"/>
      <w:tabs>
        <w:tab w:val="num" w:pos="1440" w:leader="none"/>
      </w:tabs>
    </w:pPr>
    <w:rPr>
      <w:rFonts w:ascii="Arial" w:hAnsi="Arial" w:cs="Arial"/>
      <w:szCs w:val="20"/>
    </w:rPr>
  </w:style>
  <w:style w:type="numbering" w:styleId="1309" w:customStyle="1">
    <w:name w:val="Стиль2"/>
  </w:style>
  <w:style w:type="numbering" w:styleId="1310" w:customStyle="1">
    <w:name w:val="Нет списка3"/>
    <w:next w:val="959"/>
    <w:uiPriority w:val="99"/>
    <w:semiHidden/>
    <w:unhideWhenUsed/>
  </w:style>
  <w:style w:type="table" w:styleId="1311" w:customStyle="1">
    <w:name w:val="Сетка таблицы2"/>
    <w:basedOn w:val="958"/>
    <w:next w:val="985"/>
    <w:uiPriority w:val="99"/>
    <w:rPr>
      <w:rFonts w:ascii="Times New Roman" w:hAnsi="Times New Roman"/>
    </w:rPr>
    <w:tblPr/>
  </w:style>
  <w:style w:type="numbering" w:styleId="1312" w:customStyle="1">
    <w:name w:val="Стиль21"/>
  </w:style>
  <w:style w:type="paragraph" w:styleId="1313">
    <w:name w:val="Revision"/>
    <w:hidden/>
    <w:uiPriority w:val="99"/>
    <w:semiHidden/>
    <w:rPr>
      <w:sz w:val="22"/>
      <w:szCs w:val="22"/>
    </w:rPr>
  </w:style>
  <w:style w:type="character" w:styleId="1314" w:customStyle="1">
    <w:name w:val="Колонтитул_"/>
    <w:link w:val="1316"/>
    <w:rPr>
      <w:rFonts w:ascii="Times New Roman" w:hAnsi="Times New Roman"/>
      <w:sz w:val="20"/>
      <w:szCs w:val="20"/>
      <w:shd w:val="clear" w:color="auto" w:fill="ffffff"/>
    </w:rPr>
  </w:style>
  <w:style w:type="character" w:styleId="1315" w:customStyle="1">
    <w:name w:val="Колонтитул + 11;5 pt;Интервал 1 pt"/>
    <w:rPr>
      <w:rFonts w:ascii="Times New Roman" w:hAnsi="Times New Roman"/>
      <w:spacing w:val="20"/>
      <w:sz w:val="23"/>
      <w:szCs w:val="23"/>
      <w:shd w:val="clear" w:color="auto" w:fill="ffffff"/>
    </w:rPr>
  </w:style>
  <w:style w:type="paragraph" w:styleId="1316" w:customStyle="1">
    <w:name w:val="Колонтитул"/>
    <w:basedOn w:val="947"/>
    <w:link w:val="1314"/>
    <w:pPr>
      <w:shd w:val="clear" w:color="auto" w:fill="ffffff"/>
    </w:pPr>
    <w:rPr>
      <w:sz w:val="20"/>
      <w:szCs w:val="20"/>
    </w:rPr>
  </w:style>
  <w:style w:type="table" w:styleId="1317" w:customStyle="1">
    <w:name w:val="Сетка таблицы3"/>
    <w:basedOn w:val="958"/>
    <w:next w:val="985"/>
    <w:pPr>
      <w:widowControl w:val="off"/>
    </w:pPr>
    <w:rPr>
      <w:rFonts w:ascii="Times New Roman" w:hAnsi="Times New Roman"/>
    </w:rPr>
    <w:tblPr/>
  </w:style>
  <w:style w:type="numbering" w:styleId="1318" w:customStyle="1">
    <w:name w:val="Нет списка4"/>
    <w:next w:val="959"/>
    <w:uiPriority w:val="99"/>
    <w:semiHidden/>
    <w:unhideWhenUsed/>
  </w:style>
  <w:style w:type="paragraph" w:styleId="1319" w:customStyle="1">
    <w:name w:val="çàãîëîâîê 5"/>
    <w:basedOn w:val="947"/>
    <w:next w:val="947"/>
    <w:pPr>
      <w:jc w:val="right"/>
      <w:keepNext/>
    </w:pPr>
    <w:rPr>
      <w:szCs w:val="20"/>
    </w:rPr>
  </w:style>
  <w:style w:type="character" w:styleId="1320" w:customStyle="1">
    <w:name w:val="Текст примечания Знак1"/>
    <w:rPr>
      <w:lang w:val="ru-RU" w:eastAsia="ru-RU" w:bidi="ar-SA"/>
    </w:rPr>
  </w:style>
  <w:style w:type="numbering" w:styleId="1321" w:customStyle="1">
    <w:name w:val="Нет списка5"/>
    <w:next w:val="959"/>
    <w:uiPriority w:val="99"/>
    <w:semiHidden/>
    <w:unhideWhenUsed/>
  </w:style>
  <w:style w:type="numbering" w:styleId="1322" w:customStyle="1">
    <w:name w:val="Нет списка11"/>
    <w:next w:val="959"/>
    <w:semiHidden/>
  </w:style>
  <w:style w:type="paragraph" w:styleId="1323" w:customStyle="1">
    <w:name w:val="Preformat"/>
    <w:pPr>
      <w:widowControl w:val="off"/>
    </w:pPr>
    <w:rPr>
      <w:rFonts w:ascii="Courier New" w:hAnsi="Courier New" w:cs="Courier New"/>
    </w:rPr>
  </w:style>
  <w:style w:type="paragraph" w:styleId="1324" w:customStyle="1">
    <w:name w:val="Context"/>
    <w:pPr>
      <w:widowControl w:val="off"/>
    </w:pPr>
    <w:rPr>
      <w:rFonts w:ascii="Arial" w:hAnsi="Arial" w:cs="Arial"/>
      <w:u w:val="single"/>
    </w:rPr>
  </w:style>
  <w:style w:type="paragraph" w:styleId="1325" w:customStyle="1">
    <w:name w:val="Основной текст 22"/>
    <w:basedOn w:val="947"/>
    <w:rPr>
      <w:sz w:val="28"/>
      <w:szCs w:val="20"/>
    </w:rPr>
  </w:style>
  <w:style w:type="numbering" w:styleId="1326" w:customStyle="1">
    <w:name w:val="Нет списка6"/>
    <w:next w:val="959"/>
    <w:uiPriority w:val="99"/>
    <w:semiHidden/>
    <w:unhideWhenUsed/>
  </w:style>
  <w:style w:type="table" w:styleId="1327" w:customStyle="1">
    <w:name w:val="Сетка таблицы4"/>
    <w:basedOn w:val="958"/>
    <w:next w:val="985"/>
    <w:uiPriority w:val="59"/>
    <w:rPr>
      <w:rFonts w:eastAsia="Calibri"/>
      <w:lang w:eastAsia="en-US"/>
    </w:rPr>
    <w:tblPr/>
  </w:style>
  <w:style w:type="numbering" w:styleId="1328" w:customStyle="1">
    <w:name w:val="Нет списка7"/>
    <w:next w:val="959"/>
    <w:uiPriority w:val="99"/>
    <w:semiHidden/>
    <w:unhideWhenUsed/>
  </w:style>
  <w:style w:type="paragraph" w:styleId="1329" w:customStyle="1">
    <w:name w:val="Default Paragraph Font Para Char Char Знак"/>
    <w:basedOn w:val="947"/>
    <w:pPr>
      <w:spacing w:after="160" w:line="240" w:lineRule="exact"/>
    </w:pPr>
    <w:rPr>
      <w:rFonts w:ascii="Verdana" w:hAnsi="Verdana" w:cs="Verdana"/>
      <w:sz w:val="20"/>
      <w:szCs w:val="20"/>
      <w:lang w:val="en-US" w:eastAsia="en-US"/>
    </w:rPr>
  </w:style>
  <w:style w:type="paragraph" w:styleId="1330" w:customStyle="1">
    <w:name w:val="Стиль3"/>
    <w:basedOn w:val="947"/>
    <w:qFormat/>
  </w:style>
  <w:style w:type="character" w:styleId="1331" w:customStyle="1">
    <w:name w:val="Основной текст_"/>
    <w:link w:val="1332"/>
    <w:rPr>
      <w:rFonts w:ascii="Times New Roman" w:hAnsi="Times New Roman"/>
      <w:shd w:val="clear" w:color="auto" w:fill="ffffff"/>
    </w:rPr>
  </w:style>
  <w:style w:type="paragraph" w:styleId="1332" w:customStyle="1">
    <w:name w:val="Основной текст2"/>
    <w:basedOn w:val="947"/>
    <w:link w:val="1331"/>
    <w:pPr>
      <w:ind w:hanging="940"/>
      <w:jc w:val="right"/>
      <w:spacing w:before="60" w:after="180" w:line="0" w:lineRule="atLeast"/>
      <w:shd w:val="clear" w:color="auto" w:fill="ffffff"/>
      <w:widowControl w:val="off"/>
    </w:pPr>
    <w:rPr>
      <w:sz w:val="22"/>
      <w:szCs w:val="22"/>
    </w:rPr>
  </w:style>
  <w:style w:type="character" w:styleId="1333" w:customStyle="1">
    <w:name w:val="Основной текст1"/>
    <w:rPr>
      <w:rFonts w:ascii="Times New Roman" w:hAnsi="Times New Roman" w:eastAsia="Times New Roman" w:cs="Times New Roman"/>
      <w:color w:val="000000"/>
      <w:spacing w:val="0"/>
      <w:position w:val="0"/>
      <w:sz w:val="24"/>
      <w:szCs w:val="24"/>
      <w:u w:val="single"/>
      <w:shd w:val="clear" w:color="auto" w:fill="ffffff"/>
      <w:lang w:val="ru-RU"/>
    </w:rPr>
  </w:style>
  <w:style w:type="paragraph" w:styleId="1334" w:customStyle="1">
    <w:name w:val="Default"/>
    <w:rPr>
      <w:rFonts w:ascii="Times New Roman" w:hAnsi="Times New Roman"/>
      <w:color w:val="000000"/>
      <w:sz w:val="24"/>
      <w:szCs w:val="24"/>
    </w:rPr>
  </w:style>
  <w:style w:type="character" w:styleId="1335" w:customStyle="1">
    <w:name w:val="Неразрешенное упоминание1"/>
    <w:uiPriority w:val="99"/>
    <w:semiHidden/>
    <w:unhideWhenUsed/>
    <w:rPr>
      <w:color w:val="605e5c"/>
      <w:shd w:val="clear" w:color="auto" w:fill="e1dfdd"/>
    </w:rPr>
  </w:style>
  <w:style w:type="character" w:styleId="1336" w:customStyle="1">
    <w:name w:val="Абзац списка Знак;Нумерованый список Знак;List Paragraph1 Знак;1 Знак;1. Абзац списка Знак;AC List 01 Знак;List Paragraph_0 Знак;List Paragraph_1 Знак;RSHB_Table-Normal Знак;Subtle Emphasis Знак;Table-Normal Знак;UL Знак;head 5 Знак;ПАРАГРАФ Знак"/>
    <w:link w:val="1142"/>
    <w:uiPriority w:val="34"/>
    <w:qFormat/>
    <w:rPr>
      <w:rFonts w:ascii="Arial" w:hAnsi="Arial" w:cs="Arial"/>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hyperlink" Target="kodeks://link/d?nd=901919338" TargetMode="External"/><Relationship Id="rId14" Type="http://schemas.openxmlformats.org/officeDocument/2006/relationships/hyperlink" Target="kodeks://link/d?nd=901919338" TargetMode="External"/><Relationship Id="rId15" Type="http://schemas.openxmlformats.org/officeDocument/2006/relationships/hyperlink" Target="kodeks://link/d?nd=902027326" TargetMode="External"/><Relationship Id="rId16" Type="http://schemas.openxmlformats.org/officeDocument/2006/relationships/hyperlink" Target="kodeks://link/d?nd=902111644" TargetMode="External"/><Relationship Id="rId17" Type="http://schemas.openxmlformats.org/officeDocument/2006/relationships/hyperlink" Target="kodeks://link/d?nd=565837297" TargetMode="External"/><Relationship Id="rId18" Type="http://schemas.openxmlformats.org/officeDocument/2006/relationships/hyperlink" Target="kodeks://link/d?nd=566085677" TargetMode="External"/><Relationship Id="rId19" Type="http://schemas.openxmlformats.org/officeDocument/2006/relationships/hyperlink" Target="kodeks://link/d?nd=573264184" TargetMode="External"/><Relationship Id="rId20" Type="http://schemas.openxmlformats.org/officeDocument/2006/relationships/hyperlink" Target="kodeks://link/d?nd=1200003841" TargetMode="External"/><Relationship Id="rId21" Type="http://schemas.openxmlformats.org/officeDocument/2006/relationships/hyperlink" Target="kodeks://link/d?nd=1200007105" TargetMode="External"/><Relationship Id="rId22" Type="http://schemas.openxmlformats.org/officeDocument/2006/relationships/hyperlink" Target="kodeks://link/d?nd=1200136061" TargetMode="External"/><Relationship Id="rId23" Type="http://schemas.openxmlformats.org/officeDocument/2006/relationships/hyperlink" Target="kodeks://link/d?nd=1200027410" TargetMode="External"/><Relationship Id="rId24" Type="http://schemas.openxmlformats.org/officeDocument/2006/relationships/hyperlink" Target="kodeks://link/d?nd=1200071946" TargetMode="External"/><Relationship Id="rId25" Type="http://schemas.openxmlformats.org/officeDocument/2006/relationships/hyperlink" Target="kodeks://link/d?nd=901794520" TargetMode="External"/><Relationship Id="rId26" Type="http://schemas.openxmlformats.org/officeDocument/2006/relationships/hyperlink" Target="kodeks://link/d?nd=901794520" TargetMode="External"/><Relationship Id="rId27" Type="http://schemas.openxmlformats.org/officeDocument/2006/relationships/hyperlink" Target="kodeks://link/d?nd=456054197" TargetMode="External"/><Relationship Id="rId28" Type="http://schemas.openxmlformats.org/officeDocument/2006/relationships/hyperlink" Target="kodeks://link/d?nd=566249686" TargetMode="External"/><Relationship Id="rId29" Type="http://schemas.openxmlformats.org/officeDocument/2006/relationships/hyperlink" Target="kodeks://link/d?nd=573004280" TargetMode="External"/><Relationship Id="rId30" Type="http://schemas.openxmlformats.org/officeDocument/2006/relationships/hyperlink" Target="kodeks://link/d?nd=566249684" TargetMode="External"/><Relationship Id="rId31" Type="http://schemas.openxmlformats.org/officeDocument/2006/relationships/hyperlink" Target="kodeks://link/d?nd=1200003114" TargetMode="External"/><Relationship Id="rId32" Type="http://schemas.openxmlformats.org/officeDocument/2006/relationships/hyperlink" Target="kodeks://link/d?nd=1200003114" TargetMode="External"/><Relationship Id="rId33" Type="http://schemas.openxmlformats.org/officeDocument/2006/relationships/hyperlink" Target="kodeks://link/d?nd=902111644" TargetMode="External"/><Relationship Id="rId34" Type="http://schemas.openxmlformats.org/officeDocument/2006/relationships/hyperlink" Target="kodeks://link/d?nd=566085677" TargetMode="External"/><Relationship Id="rId35" Type="http://schemas.openxmlformats.org/officeDocument/2006/relationships/hyperlink" Target="kodeks://link/d?nd=902027326" TargetMode="External"/><Relationship Id="rId36" Type="http://schemas.openxmlformats.org/officeDocument/2006/relationships/hyperlink" Target="kodeks://link/d?nd=901919338" TargetMode="External"/><Relationship Id="rId37" Type="http://schemas.openxmlformats.org/officeDocument/2006/relationships/hyperlink" Target="kodeks://link/d?nd=1200003114" TargetMode="External"/><Relationship Id="rId38" Type="http://schemas.openxmlformats.org/officeDocument/2006/relationships/hyperlink" Target="kodeks://link/d?nd=1200003114" TargetMode="External"/><Relationship Id="rId39" Type="http://schemas.openxmlformats.org/officeDocument/2006/relationships/hyperlink" Target="kodeks://link/d?nd=1200003114" TargetMode="External"/><Relationship Id="rId40" Type="http://schemas.openxmlformats.org/officeDocument/2006/relationships/hyperlink" Target="kodeks://link/d?nd=1200003114" TargetMode="External"/><Relationship Id="rId41" Type="http://schemas.openxmlformats.org/officeDocument/2006/relationships/hyperlink" Target="kodeks://link/d?nd=1200003114" TargetMode="External"/><Relationship Id="rId42" Type="http://schemas.openxmlformats.org/officeDocument/2006/relationships/hyperlink" Target="kodeks://link/d?nd=901794520" TargetMode="External"/><Relationship Id="rId43" Type="http://schemas.openxmlformats.org/officeDocument/2006/relationships/hyperlink" Target="kodeks://link/d?nd=901794520" TargetMode="External"/><Relationship Id="rId44" Type="http://schemas.openxmlformats.org/officeDocument/2006/relationships/hyperlink" Target="kodeks://link/d?nd=456054197"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Р7-Офис/2025.1.1.763</Application>
  <Company>TOSHIBA</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User</dc:creator>
  <cp:lastModifiedBy>rassolov-sg</cp:lastModifiedBy>
  <cp:revision>49</cp:revision>
  <dcterms:created xsi:type="dcterms:W3CDTF">2025-03-14T13:43:00Z</dcterms:created>
  <dcterms:modified xsi:type="dcterms:W3CDTF">2025-07-08T14:30:50Z</dcterms:modified>
  <cp:version>1048576</cp:version>
</cp:coreProperties>
</file>